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40"/>
      </w:pPr>
      <w:r>
        <w:rPr>
          <w:rFonts w:ascii="Arial" w:cs="Arial" w:eastAsia="Arial" w:hAnsi="Arial"/>
          <w:b/>
          <w:bCs/>
          <w:color w:val="2E75B6"/>
          <w:sz w:val="24"/>
          <w:szCs w:val="24"/>
        </w:rPr>
        <w:t xml:space="preserve">DOC-001</w:t>
      </w:r>
    </w:p>
    <w:p>
      <w:pPr>
        <w:pStyle w:val="Heading1"/>
      </w:pPr>
      <w:r>
        <w:rPr>
          <w:rFonts w:ascii="Arial" w:cs="Arial" w:eastAsia="Arial" w:hAnsi="Arial"/>
        </w:rPr>
        <w:t xml:space="preserve">Project Glossary</w:t>
      </w:r>
    </w:p>
    <w:p>
      <w:pPr>
        <w:spacing w:after="320"/>
      </w:pPr>
      <w:r>
        <w:rPr>
          <w:rFonts w:ascii="Arial" w:cs="Arial" w:eastAsia="Arial" w:hAnsi="Arial"/>
          <w:i/>
          <w:iCs/>
          <w:color w:val="444444"/>
          <w:sz w:val="22"/>
          <w:szCs w:val="22"/>
        </w:rPr>
        <w:t xml:space="preserve">REM Waste — Booking Flow Platform  ·  Version 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FFFFFF"/>
                <w:sz w:val="20"/>
                <w:szCs w:val="20"/>
              </w:rPr>
              <w:t xml:space="preserve">Document ID</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DOC-001</w:t>
            </w:r>
          </w:p>
        </w:tc>
      </w:tr>
      <w:tr>
        <w:tc>
          <w:tcPr>
            <w:tcW w:type="dxa" w:w="24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FFFFFF"/>
                <w:sz w:val="20"/>
                <w:szCs w:val="20"/>
              </w:rPr>
              <w:t xml:space="preserve">Title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Project Glossary</w:t>
            </w:r>
          </w:p>
        </w:tc>
      </w:tr>
      <w:tr>
        <w:tc>
          <w:tcPr>
            <w:tcW w:type="dxa" w:w="24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FFFFFF"/>
                <w:sz w:val="20"/>
                <w:szCs w:val="20"/>
              </w:rPr>
              <w:t xml:space="preserve">Project</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REM Waste — Booking Flow Platform</w:t>
            </w:r>
          </w:p>
        </w:tc>
      </w:tr>
      <w:tr>
        <w:tc>
          <w:tcPr>
            <w:tcW w:type="dxa" w:w="24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1.0</w:t>
            </w:r>
          </w:p>
        </w:tc>
      </w:tr>
      <w:tr>
        <w:tc>
          <w:tcPr>
            <w:tcW w:type="dxa" w:w="24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FFFFFF"/>
                <w:sz w:val="20"/>
                <w:szCs w:val="20"/>
              </w:rPr>
              <w:t xml:space="preserve">Status</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Approved</w:t>
            </w:r>
          </w:p>
        </w:tc>
      </w:tr>
      <w:tr>
        <w:tc>
          <w:tcPr>
            <w:tcW w:type="dxa" w:w="24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FFFFFF"/>
                <w:sz w:val="20"/>
                <w:szCs w:val="20"/>
              </w:rPr>
              <w:t xml:space="preserve">Author</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Evgenii Subbotin</w:t>
            </w:r>
          </w:p>
        </w:tc>
      </w:tr>
      <w:tr>
        <w:tc>
          <w:tcPr>
            <w:tcW w:type="dxa" w:w="24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2026-04-16</w:t>
            </w:r>
          </w:p>
        </w:tc>
      </w:tr>
      <w:tr>
        <w:tc>
          <w:tcPr>
            <w:tcW w:type="dxa" w:w="24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FFFFFF"/>
                <w:sz w:val="20"/>
                <w:szCs w:val="20"/>
              </w:rPr>
              <w:t xml:space="preserve">Audience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All project stakeholders</w:t>
            </w:r>
          </w:p>
        </w:tc>
      </w:tr>
    </w:tbl>
    <w:p>
      <w:r>
        <w:rPr>
          <w:sz w:val="20"/>
          <w:szCs w:val="20"/>
        </w:rPr>
        <w:t xml:space="preserve"/>
      </w:r>
    </w:p>
    <w:p>
      <w:pPr>
        <w:pStyle w:val="Heading2"/>
      </w:pPr>
      <w:r>
        <w:rPr>
          <w:rFonts w:ascii="Arial" w:cs="Arial" w:eastAsia="Arial" w:hAnsi="Arial"/>
        </w:rPr>
        <w:t xml:space="preserve">Purpose</w:t>
      </w:r>
    </w:p>
    <w:p>
      <w:pPr>
        <w:spacing w:after="160" w:before="80"/>
      </w:pPr>
      <w:r>
        <w:rPr>
          <w:rFonts w:ascii="Arial" w:cs="Arial" w:eastAsia="Arial" w:hAnsi="Arial"/>
          <w:color w:val="1A1A1A"/>
          <w:sz w:val="20"/>
          <w:szCs w:val="20"/>
        </w:rPr>
        <w:t xml:space="preserve">This glossary defines all terms used across project artefacts (DOC-001 through DOC-XXX). It serves as the source of truth for terminology, ensuring consistent language between product, engineering, QA, and delivery documentation. All other documents reference this glossary; terms defined here are not re-explained elsewhere.</w:t>
      </w:r>
    </w:p>
    <w:p>
      <w:pPr>
        <w:spacing w:after="160" w:before="80"/>
      </w:pPr>
      <w:r>
        <w:rPr>
          <w:rFonts w:ascii="Arial" w:cs="Arial" w:eastAsia="Arial" w:hAnsi="Arial"/>
          <w:color w:val="1A1A1A"/>
          <w:sz w:val="20"/>
          <w:szCs w:val="20"/>
        </w:rPr>
        <w:t xml:space="preserve">Terms are organised into three sections: Domain Terms (waste management and booking domain concepts), Technical Terms (technology stack and tools), and Process Terms (project artefacts, frameworks, and methodologies).</w:t>
      </w:r>
    </w:p>
    <w:p>
      <w:r>
        <w:rPr>
          <w:sz w:val="20"/>
          <w:szCs w:val="20"/>
        </w:rPr>
        <w:t xml:space="preserve"/>
      </w:r>
    </w:p>
    <w:p>
      <w:pPr>
        <w:pStyle w:val="Heading2"/>
      </w:pPr>
      <w:r>
        <w:rPr>
          <w:rFonts w:ascii="Arial" w:cs="Arial" w:eastAsia="Arial" w:hAnsi="Arial"/>
        </w:rPr>
        <w:t xml:space="preserve">How to Use This Document</w:t>
      </w:r>
    </w:p>
    <w:p>
      <w:pPr>
        <w:spacing w:after="160" w:before="80"/>
      </w:pPr>
      <w:r>
        <w:rPr>
          <w:rFonts w:ascii="Arial" w:cs="Arial" w:eastAsia="Arial" w:hAnsi="Arial"/>
          <w:color w:val="1A1A1A"/>
          <w:sz w:val="20"/>
          <w:szCs w:val="20"/>
        </w:rPr>
        <w:t xml:space="preserve">Each term is assigned a unique identifier in the format GL-{category}-{number}: GL-D-XXX for Domain terms, GL-T-XXX for Technical terms, GL-P-XXX for Process terms. When a term defined here appears in another document, it may be referenced by its GL identifier for precision.</w:t>
      </w:r>
    </w:p>
    <w:p>
      <w:r>
        <w:rPr>
          <w:sz w:val="20"/>
          <w:szCs w:val="20"/>
        </w:rPr>
        <w:t xml:space="preserve"/>
      </w:r>
    </w:p>
    <w:p>
      <w:pPr>
        <w:pStyle w:val="Heading2"/>
      </w:pPr>
      <w:r>
        <w:rPr>
          <w:rFonts w:ascii="Arial" w:cs="Arial" w:eastAsia="Arial" w:hAnsi="Arial"/>
        </w:rPr>
        <w:t xml:space="preserve">Section 1 — Domain Terms</w:t>
      </w:r>
    </w:p>
    <w:p>
      <w:pPr>
        <w:spacing w:after="160" w:before="80"/>
      </w:pPr>
      <w:r>
        <w:rPr>
          <w:rFonts w:ascii="Arial" w:cs="Arial" w:eastAsia="Arial" w:hAnsi="Arial"/>
          <w:color w:val="1A1A1A"/>
          <w:sz w:val="20"/>
          <w:szCs w:val="20"/>
        </w:rPr>
        <w:t xml:space="preserve">Terminology specific to the waste management industry and the REM Waste booking flow business domain.</w:t>
      </w:r>
    </w:p>
    <w:p>
      <w:r>
        <w:rPr>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5760"/>
      </w:tblGrid>
      <w:tr>
        <w:tc>
          <w:tcPr>
            <w:tcW w:type="dxa" w:w="9360"/>
            <w:gridSpan w:val="3"/>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aps/>
                <w:color w:val="FFFFFF"/>
                <w:sz w:val="20"/>
                <w:szCs w:val="20"/>
              </w:rPr>
              <w:t xml:space="preserve">DOMAIN TERMS — Waste Management &amp; Booking Flow</w:t>
            </w:r>
          </w:p>
        </w:tc>
      </w:tr>
      <w:tr>
        <w:trPr>
          <w:tblHeader/>
        </w:trPr>
        <w:tc>
          <w:tcPr>
            <w:tcW w:type="dxa" w:w="12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vAlign w:val="center"/>
          </w:tcPr>
          <w:p>
            <w:r>
              <w:rPr>
                <w:rFonts w:ascii="Arial" w:cs="Arial" w:eastAsia="Arial" w:hAnsi="Arial"/>
                <w:b/>
                <w:bCs/>
                <w:color w:val="FFFFFF"/>
                <w:sz w:val="20"/>
                <w:szCs w:val="20"/>
              </w:rPr>
              <w:t xml:space="preserve">ID</w:t>
            </w:r>
          </w:p>
        </w:tc>
        <w:tc>
          <w:tcPr>
            <w:tcW w:type="dxa" w:w="24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vAlign w:val="center"/>
          </w:tcPr>
          <w:p>
            <w:r>
              <w:rPr>
                <w:rFonts w:ascii="Arial" w:cs="Arial" w:eastAsia="Arial" w:hAnsi="Arial"/>
                <w:b/>
                <w:bCs/>
                <w:color w:val="FFFFFF"/>
                <w:sz w:val="20"/>
                <w:szCs w:val="20"/>
              </w:rPr>
              <w:t xml:space="preserve">Term</w:t>
            </w:r>
          </w:p>
        </w:tc>
        <w:tc>
          <w:tcPr>
            <w:tcW w:type="dxa" w:w="576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vAlign w:val="center"/>
          </w:tcPr>
          <w:p>
            <w:r>
              <w:rPr>
                <w:rFonts w:ascii="Arial" w:cs="Arial" w:eastAsia="Arial" w:hAnsi="Arial"/>
                <w:b/>
                <w:bCs/>
                <w:color w:val="FFFFFF"/>
                <w:sz w:val="20"/>
                <w:szCs w:val="20"/>
              </w:rPr>
              <w:t xml:space="preserve">Definition</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GL-D-001</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Skip</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 large open-topped metal container used for temporary storage and removal of waste. Available in multiple sizes (2yd to 16yd). The primary product unit in the REM Waste booking flow.</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GL-D-002</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Skip Size</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The volumetric capacity of a skip, measured in cubic yards (yd). Sizes available in this project: 2yd (mini), 4yd, 6yd, 8yd, 10yd, 12yd, 14yd, 16yd. Price and availability vary by size.</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GL-D-003</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Hire Duration</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The number of days a skip is rented by the customer before collection. Standard options in this project: 7, 14, and 28 days.</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GL-D-004</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General Waste</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Standard mixed non-hazardous waste suitable for most skip sizes. Does not trigger additional branching logic or restrictions in the booking flow.</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GL-D-005</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Heavy Waste</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Dense waste materials such as soil, concrete, rubble, or aggregate. Heavy waste disables larger skip sizes (12yd+) due to weight limits on collection vehicles. Triggers disabled-skip logic in Step 3.</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GL-D-006</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Plasterboard</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Gypsum-based construction board (drywall). Classified as hazardous waste under UK regulations when mixed with other materials. Requires a dedicated handling option selection. Triggers branching logic in Step 2.</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GL-D-007</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Plasterboard Option</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One of three mandatory disposal choices when plasterboard is selected: (1) Separate bag — plasterboard bagged separately within the skip; (2) Dedicated skip — skip used exclusively for plasterboard; (3) Licensed carrier — arranged via certified waste carrier. Each option affects pricing and skip availability.</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GL-D-008</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UK Postcode</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The alphanumeric postal code used in the United Kingdom to identify delivery locations. Format: area + district + space + sector + unit (e.g., SW1A 1AA). Used in Step 1 to validate delivery address and retrieve available addresses from the lookup API.</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GL-D-009</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Address Lookup</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The API-driven process of retrieving a list of registered addresses for a given UK postcode. Returns structured address records (id, line1, city). Triggered after postcode validation in Step 1.</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GL-D-010</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Manual Entry</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The fallback address input method when the address lookup returns no results (empty state) or the customer's address is not listed. Allows free-text entry of address fields.</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GL-D-011</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Price Breakdown</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An itemised summary of all charges presented in Step 4 (Review). Includes base skip hire cost, any applicable surcharges, and total amount due. Required by the assessment as a mandatory UI element.</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GL-D-012</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Booking Confirmation</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The final system state after a successful POST /api/booking/confirm call. Returns a unique bookingId (e.g., BK-12345) and status: success. Displayed to the user as the order completion screen.</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GL-D-013</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Disabled Skip</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 skip option that is displayed in the UI but cannot be selected. Visually indicated (greyed out) with a tooltip or label explaining why it is unavailable (e.g., weight limit for heavy waste). Heavy waste disables at least 2 skip sizes per assessment requirements.</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GL-D-014</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Waste Type</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The category of waste the customer intends to dispose of. Three types in scope: General, Heavy, Plasterboard. Selection in Step 2 determines skip availability in Step 3 and may require additional option selection.</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GL-D-015</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Postcode Fixture</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 deterministic test postcode with a predefined API response. Four fixtures defined in the assessment: SW1A 1AA (12+ addresses), EC1A 1BB (0 addresses / empty state), M1 1AE (simulated latency), BS1 4DJ (500 error on first call, success on retry).</w:t>
            </w:r>
          </w:p>
        </w:tc>
      </w:tr>
    </w:tbl>
    <w:p>
      <w:r>
        <w:rPr>
          <w:sz w:val="20"/>
          <w:szCs w:val="20"/>
        </w:rPr>
        <w:t xml:space="preserve"/>
      </w:r>
    </w:p>
    <w:p>
      <w:pPr>
        <w:pStyle w:val="Heading2"/>
      </w:pPr>
      <w:r>
        <w:rPr>
          <w:rFonts w:ascii="Arial" w:cs="Arial" w:eastAsia="Arial" w:hAnsi="Arial"/>
        </w:rPr>
        <w:t xml:space="preserve">Section 2 — Technical Terms &amp; Technologies</w:t>
      </w:r>
    </w:p>
    <w:p>
      <w:pPr>
        <w:spacing w:after="160" w:before="80"/>
      </w:pPr>
      <w:r>
        <w:rPr>
          <w:rFonts w:ascii="Arial" w:cs="Arial" w:eastAsia="Arial" w:hAnsi="Arial"/>
          <w:color w:val="1A1A1A"/>
          <w:sz w:val="20"/>
          <w:szCs w:val="20"/>
        </w:rPr>
        <w:t xml:space="preserve">Technologies, tools, and technical concepts used in the project stack. Covers AI tooling, frontend and backend frameworks, DevOps platform, and QA/AQA tooling.</w:t>
      </w:r>
    </w:p>
    <w:p>
      <w:r>
        <w:rPr>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5760"/>
      </w:tblGrid>
      <w:tr>
        <w:tc>
          <w:tcPr>
            <w:tcW w:type="dxa" w:w="9360"/>
            <w:gridSpan w:val="3"/>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aps/>
                <w:color w:val="FFFFFF"/>
                <w:sz w:val="20"/>
                <w:szCs w:val="20"/>
              </w:rPr>
              <w:t xml:space="preserve">TECHNICAL TERMS — Stack, Tools &amp; Engineering Concepts</w:t>
            </w:r>
          </w:p>
        </w:tc>
      </w:tr>
      <w:tr>
        <w:trPr>
          <w:tblHeader/>
        </w:trPr>
        <w:tc>
          <w:tcPr>
            <w:tcW w:type="dxa" w:w="12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vAlign w:val="center"/>
          </w:tcPr>
          <w:p>
            <w:r>
              <w:rPr>
                <w:rFonts w:ascii="Arial" w:cs="Arial" w:eastAsia="Arial" w:hAnsi="Arial"/>
                <w:b/>
                <w:bCs/>
                <w:color w:val="FFFFFF"/>
                <w:sz w:val="20"/>
                <w:szCs w:val="20"/>
              </w:rPr>
              <w:t xml:space="preserve">ID</w:t>
            </w:r>
          </w:p>
        </w:tc>
        <w:tc>
          <w:tcPr>
            <w:tcW w:type="dxa" w:w="24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vAlign w:val="center"/>
          </w:tcPr>
          <w:p>
            <w:r>
              <w:rPr>
                <w:rFonts w:ascii="Arial" w:cs="Arial" w:eastAsia="Arial" w:hAnsi="Arial"/>
                <w:b/>
                <w:bCs/>
                <w:color w:val="FFFFFF"/>
                <w:sz w:val="20"/>
                <w:szCs w:val="20"/>
              </w:rPr>
              <w:t xml:space="preserve">Term</w:t>
            </w:r>
          </w:p>
        </w:tc>
        <w:tc>
          <w:tcPr>
            <w:tcW w:type="dxa" w:w="576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vAlign w:val="center"/>
          </w:tcPr>
          <w:p>
            <w:r>
              <w:rPr>
                <w:rFonts w:ascii="Arial" w:cs="Arial" w:eastAsia="Arial" w:hAnsi="Arial"/>
                <w:b/>
                <w:bCs/>
                <w:color w:val="FFFFFF"/>
                <w:sz w:val="20"/>
                <w:szCs w:val="20"/>
              </w:rPr>
              <w:t xml:space="preserve">Definition</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GL-T-001</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Claude Code</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Anthropic's AI-powered engineering assistant used as the primary code generation and review tool in this project. Operates as an autonomous coding agent capable of scaffolding components, writing tests, generating documentation, and iterating on feedback. Used under an AI-first engineering approach where all AI output is verified by the engineer before acceptance.</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GL-T-002</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AI-First Engineering</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 development methodology in which AI tooling (Claude Code) is used as the primary accelerator for code generation, test creation, and documentation authoring. The engineer acts as architect, reviewer, and decision-maker. Output quality is validated through code review, test execution, and manual verification. Not 'vibe coding' — every AI-generated artefact is owned and verified by the engineer.</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GL-T-003</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Next.js 14</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An open-source React-based full-stack web framework developed by Vercel. Used in this project with the App Router pattern. Provides both the frontend (React components, routing) and backend (API Routes / Route Handlers) within a single monorepo. Eliminates the need for a separate backend server.</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GL-T-004</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React</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 JavaScript library for building component-based user interfaces. Used as the rendering layer within Next.js. Components manage local UI state (form steps, loading/error states, selected options).</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GL-T-005</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TypeScript</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 statically-typed superset of JavaScript. Used throughout the project (frontend components, API routes, Playwright tests, fixtures). Provides compile-time type safety for API contracts, reducing a class of runtime errors before they reach QA.</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GL-T-006</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Tailwind CSS</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 utility-first CSS framework. Used for all UI styling. Provides responsive design utilities (mobile/desktop breakpoints) without writing custom CSS. Produces minimal CSS bundle through automatic purging of unused classes.</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GL-T-007</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Node.js 20 LTS</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The JavaScript runtime environment executing server-side Next.js code (API routes, SSR). LTS (Long-Term Support) version selected for stability.</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GL-T-008</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API Route</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 server-side handler within Next.js (app/api/ directory) that processes HTTP requests and returns JSON responses. Used to implement all four backend endpoints: /api/postcode/lookup, /api/waste-types, /api/skips, /api/booking/confirm.</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GL-T-009</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In-Memory Fixture</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Static TypeScript data structures defined within API routes that return deterministic responses without a database. Used to implement all four postcode fixtures and skip option sets. Eliminates database dependency for this assessment while maintaining full API contract compliance.</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GL-T-010</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Deterministic Fixture</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 test data record that always returns the same predefined response for a given input. Required by the assessment specification. Ensures test repeatability and eliminates flakiness caused by external data sources.</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GL-T-011</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GitHub</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The version control hosting platform used for source code, CI/CD pipelines, project task tracking (GitHub Projects), and public portfolio visibility. All project history, branch strategy, and workflow runs are visible in the public repository.</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GL-T-012</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GitHub Actions</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The CI/CD automation platform integrated natively into GitHub. Used to run automated quality checks (TypeScript compilation, Playwright test suite) on every push and pull request. Triggers deployment to Vercel on merge to main.</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GL-T-013</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GitHub Projects</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 Kanban-style task management tool built into GitHub. Used as the project task board (alternative to Jira). Hosts the full product backlog with US-XXX identifiers, MoSCoW prioritisation, and sprint progress tracking.</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GL-T-014</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Vercel</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The cloud deployment platform used to host the Next.js application. Provides: zero-configuration Next.js deployment, automatic preview deployments on every pull request (unique URL per PR), instant rollback to any previous deployment, and built-in Web Analytics. Selected over AWS for cost-effectiveness (free tier sufficient) and deployment speed.</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GL-T-015</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Preview Deployment</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An automatically generated, publicly accessible URL created by Vercel for every pull request. Allows review of changes in a production-like environment before merging. Contributes to DORA Lead Time for Changes measurement.</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GL-T-016</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Production Deployment</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The live, publicly accessible version of the application deployed to Vercel on merge to the main branch. This URL is submitted as the primary demo link in the assessment.</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GL-T-017</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Quality Gate</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An automated check within the GitHub Actions CI/CD pipeline that blocks deployment if it fails. In this project: TypeScript compilation must pass AND all Playwright tests must pass before deployment proceeds. Implements shift-left quality enforcement.</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GL-T-018</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Rollback</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The process of reverting the production deployment to a previous version. On Vercel, this is an instant one-click operation with no downtime. Documented in the Release Management Plan (DOC-006) as the primary incident response procedure.</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GL-T-019</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Playwright</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An open-source end-to-end testing framework by Microsoft. Used as the single testing tool for all automated test types in this project: UI/E2E tests (browser automation), API tests (HTTP request/response validation), accessibility checks (via @axe-core/playwright), and visual regression (screenshot comparison). TypeScript-native.</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GL-T-020</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E2E Test</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End-to-End test. Validates a complete user journey through the application from the browser perspective, simulating real user interactions. In this project: the full 4-step booking flow (postcode → waste type → skip selection → review/confirm).</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GL-T-021</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API Test</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Automated test that sends HTTP requests directly to API endpoints and validates responses (status codes, response body schema, error handling). Executed via Playwright's APIRequestContext, without a browser.</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GL-T-022</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Smoke Test</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 minimal set of tests (tagged @smoke) that verify core functionality is working after a deployment. Fast to execute (&lt;3 minutes). Run on every pull request as a pre-merge quality gate.</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GL-T-023</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Regression Test</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 comprehensive test suite (tagged @regression) that verifies existing functionality has not been broken by new changes. Includes all positive, negative, edge case, and boundary value tests. Run on merge to main.</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GL-T-024</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Accessibility Test</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Automated check for WCAG 2.1 AA compliance using axe-core. Verifies that UI components have correct labels, contrast ratios, keyboard navigability, and ARIA attributes. Executed as part of the Playwright test suite.</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GL-T-025</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Visual Regression</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Screenshot-based comparison test that detects unintended visual changes between deployments. Playwright captures screenshots and compares against a stored baseline. Differences above a configurable pixel threshold cause the test to fail.</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GL-T-026</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Page Object Model</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 test design pattern that encapsulates UI element locators and interactions within dedicated TypeScript classes (e.g., PostcodePage, SkipSelectionPage). Decouples test logic from selector implementation, making tests maintainable when the UI changes.</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GL-T-027</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Test Fixture (QA)</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Reusable setup/teardown logic or shared data used across multiple tests. In Playwright: extended test fixtures provide pre-instantiated page objects and API clients to each test without repetitive setup code. Not to be confused with Deterministic Fixture (GL-T-010).</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GL-T-028</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Allure Report</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 test reporting framework that generates rich HTML reports from Playwright test results. Provides: test pass/fail breakdown, severity classification, screenshot evidence on failure, historical trend charts, and step-by-step execution logs. Published to GitHub Pages (Should priority — post-MVP).</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GL-T-029</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axe-core</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An open-source accessibility testing engine by Deque. Integrated via @axe-core/playwright. Runs WCAG 2.1 AA rule checks against rendered pages and returns structured violation reports with element references and fix guidance.</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GL-T-030</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DORA Metrics</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DevOps Research and Assessment metrics used to measure software delivery performance. Four key metrics: Deployment Frequency (how often code is deployed to production), Lead Time for Changes (time from commit to production), Mean Time to Recovery (time to restore service after incident), Change Failure Rate (percentage of deployments causing failures). Tracked in this project via GitHub Actions logs and Vercel deployment history.</w:t>
            </w:r>
          </w:p>
        </w:tc>
      </w:tr>
    </w:tbl>
    <w:p>
      <w:r>
        <w:rPr>
          <w:sz w:val="20"/>
          <w:szCs w:val="20"/>
        </w:rPr>
        <w:t xml:space="preserve"/>
      </w:r>
    </w:p>
    <w:p>
      <w:pPr>
        <w:pStyle w:val="Heading2"/>
      </w:pPr>
      <w:r>
        <w:rPr>
          <w:rFonts w:ascii="Arial" w:cs="Arial" w:eastAsia="Arial" w:hAnsi="Arial"/>
        </w:rPr>
        <w:t xml:space="preserve">Section 3 — Process Terms &amp; Artefacts</w:t>
      </w:r>
    </w:p>
    <w:p>
      <w:pPr>
        <w:spacing w:after="160" w:before="80"/>
      </w:pPr>
      <w:r>
        <w:rPr>
          <w:rFonts w:ascii="Arial" w:cs="Arial" w:eastAsia="Arial" w:hAnsi="Arial"/>
          <w:color w:val="1A1A1A"/>
          <w:sz w:val="20"/>
          <w:szCs w:val="20"/>
        </w:rPr>
        <w:t xml:space="preserve">Project artefact types, naming conventions, and process frameworks applied in this project. Covers document IDs, prioritisation methods, quality practices, and delivery methodology concepts.</w:t>
      </w:r>
    </w:p>
    <w:p>
      <w:r>
        <w:rPr>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5760"/>
      </w:tblGrid>
      <w:tr>
        <w:tc>
          <w:tcPr>
            <w:tcW w:type="dxa" w:w="9360"/>
            <w:gridSpan w:val="3"/>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aps/>
                <w:color w:val="FFFFFF"/>
                <w:sz w:val="20"/>
                <w:szCs w:val="20"/>
              </w:rPr>
              <w:t xml:space="preserve">PROCESS TERMS — Artefacts, Frameworks &amp; Methodology</w:t>
            </w:r>
          </w:p>
        </w:tc>
      </w:tr>
      <w:tr>
        <w:trPr>
          <w:tblHeader/>
        </w:trPr>
        <w:tc>
          <w:tcPr>
            <w:tcW w:type="dxa" w:w="12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vAlign w:val="center"/>
          </w:tcPr>
          <w:p>
            <w:r>
              <w:rPr>
                <w:rFonts w:ascii="Arial" w:cs="Arial" w:eastAsia="Arial" w:hAnsi="Arial"/>
                <w:b/>
                <w:bCs/>
                <w:color w:val="FFFFFF"/>
                <w:sz w:val="20"/>
                <w:szCs w:val="20"/>
              </w:rPr>
              <w:t xml:space="preserve">ID</w:t>
            </w:r>
          </w:p>
        </w:tc>
        <w:tc>
          <w:tcPr>
            <w:tcW w:type="dxa" w:w="24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vAlign w:val="center"/>
          </w:tcPr>
          <w:p>
            <w:r>
              <w:rPr>
                <w:rFonts w:ascii="Arial" w:cs="Arial" w:eastAsia="Arial" w:hAnsi="Arial"/>
                <w:b/>
                <w:bCs/>
                <w:color w:val="FFFFFF"/>
                <w:sz w:val="20"/>
                <w:szCs w:val="20"/>
              </w:rPr>
              <w:t xml:space="preserve">Term</w:t>
            </w:r>
          </w:p>
        </w:tc>
        <w:tc>
          <w:tcPr>
            <w:tcW w:type="dxa" w:w="576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vAlign w:val="center"/>
          </w:tcPr>
          <w:p>
            <w:r>
              <w:rPr>
                <w:rFonts w:ascii="Arial" w:cs="Arial" w:eastAsia="Arial" w:hAnsi="Arial"/>
                <w:b/>
                <w:bCs/>
                <w:color w:val="FFFFFF"/>
                <w:sz w:val="20"/>
                <w:szCs w:val="20"/>
              </w:rPr>
              <w:t xml:space="preserve">Definition</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GL-P-001</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DOC-XXX</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Naming convention for project documentation artefacts. Each document is assigned a unique ID (e.g., DOC-001 = Project Glossary, DOC-002 = Project Charter). Used as cross-reference identifiers across all project artefacts and tracked as delivery tasks in GitHub Projects.</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GL-P-002</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US-XXX</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Naming convention for User Stories. Each functional requirement is expressed as a user story with a unique ID (e.g., US-001 = Postcode Lookup Happy Path). Used in the Product Backlog, cross-referenced in Test Cases and ADRs.</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GL-P-003</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ADR-XXX</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Architecture Decision Record. A document capturing a significant technical decision, the options considered, the decision made, and its rationale and consequences. ADRs are immutable once approved — they represent the decision log of the project.</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GL-P-004</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TC-XXX</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Naming convention for Test Cases. Each manual or automated test case is assigned a unique ID (e.g., TC-001 = Valid postcode returns address list). Linked to User Stories (US-XXX) for requirements traceability.</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GL-P-005</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Project Charter</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DOC-002. A PMI-compliant project initiation document defining: project purpose, scope, objectives, success criteria, constraints, assumptions, risks, stakeholder register, and timeline. The authoritative definition of what this project is and is not.</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GL-P-006</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Product Backlog</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DOC-003. The prioritised list of all work items (User Stories, technical tasks, documentation tasks) for the project. Organised by MoSCoW priority. Split into MVP scope (assessment requirements) and extended scope (portfolio enhancement). The single source of truth for project scope.</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GL-P-007</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MoSCoW</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 prioritisation framework categorising backlog items into four groups: Must Have (non-negotiable for MVP / assessment pass), Should Have (important but not blocking), Could Have (desirable if time permits), Won't Have (explicitly out of scope for this iteration). Applied to all backlog items.</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GL-P-008</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WSJF</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Weighted Shortest Job First. A SAFe prioritisation model calculating: (Business Value + Time Criticality + Risk Reduction) ÷ Job Size. Used to sequence items within each MoSCoW tier when sequencing is non-obvious.</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GL-P-009</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WBS</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Work Breakdown Structure. A hierarchical decomposition of project deliverables into manageable components. Produced in two views: functional (by feature/user journey step) and architectural (by system layer: frontend, API, testing, DevOps, documentation).</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GL-P-010</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Definition of Ready</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DoR. A checklist of conditions that must be met before a User Story can enter development. Ensures requirements are clear, testable, and implementable without ambiguity. Applied to all US-XXX items in the backlog.</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GL-P-011</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Definition of Done</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DoD. A checklist of conditions that must be met before a User Story or task can be considered complete. Includes: code written, TypeScript checks pass, tests written and passing, CI/CD pipeline green, documentation updated.</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GL-P-012</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Shift-Left</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 quality practice of moving testing, validation, and review activities earlier in the development lifecycle. In this project: Test Strategy authored before code, DoR enforced before development starts, quality gates enforced in CI/CD before deployment.</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GL-P-013</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ADR Collection</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DOC-004. A single document containing all Architecture Decision Records (ADR-001 through ADR-00N). Each ADR follows the format: Context → Options Considered → Decision → Rationale → Consequences.</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GL-P-014</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Test Strategy</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DOC-005. The top-level quality governance document defining: what is tested and why, testing pyramid and coverage targets, tools and approach, risk-based prioritisation, NFR (non-functional requirements) coverage, and CI/CD integration. Authored before development begins.</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GL-P-015</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Tech Stack Evaluation</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DOC-007. A scored matrix comparing technology options across selection criteria (cost, deployment speed, testing support, developer experience, CI/CD integration, community). Provides objective justification for stack decisions referenced in ADRs.</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GL-P-016</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Release Management Plan</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DOC-006. Documents the branching strategy, environment map (local → preview → production), deployment procedure, rollback procedure, and release checklist (quality gates that must pass before merge to main).</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GL-P-017</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AI Engineering Log</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DOC-008. A structured log of AI-assisted engineering decisions. Records: task, prompt intent, AI output, manual changes applied, and outcome assessment. Demonstrates professional AI-augmented engineering practice — AI as accelerator, engineer as decision-maker.</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GL-P-018</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Exploratory Testing</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Unscripted, human-driven testing session guided by a charter (e.g., 'Explore the booking flow to find defects that automation won't catch'). Documented using the Exploratory Session template. Covers: heuristics applied, observations, bugs found, automation gaps identified.</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GL-P-019</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Execution Report</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A post-test-run summary document presenting: test results by suite, failed tests, bugs found, risk assessment, and a release GO/NO GO recommendation. Written for a technical decision-maker (EM/CTO) audience.</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GL-P-020</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NFR</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Non-Functional Requirement. Quality attributes the system must exhibit beyond functional correctness. In this project: performance (page load &lt;3s, API response &lt;2s), accessibility (WCAG 2.1 AA), browser compatibility (Chromium, WebKit), mobile responsiveness (375px viewport minimum).</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GL-P-021</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Source of Truth</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The single authoritative document or artefact that all other documents reference for a given domain of information. In this project: the Product Backlog (DOC-003) is the source of truth for scope; the Project Glossary (DOC-001) is the source of truth for terminology.</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GL-P-022</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MVP</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Minimum Viable Product. In this project context: the complete set of functional and documentation requirements specified in the QA Assessment PDF. Delivering MVP is the prerequisite for a valid assessment submission. Everything beyond MVP is prioritised as Should/Could in the backlog.</w:t>
            </w:r>
          </w:p>
        </w:tc>
      </w:tr>
      <w:tr>
        <w:tc>
          <w:tcPr>
            <w:tcW w:type="dxa" w:w="1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GL-P-023</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bCs/>
                <w:color w:val="1A1A1A"/>
                <w:sz w:val="20"/>
                <w:szCs w:val="20"/>
              </w:rPr>
              <w:t xml:space="preserve">PI Planning</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Program Increment Planning. A SAFe event where teams plan and commit to work for the next Program Increment (typically 8–12 weeks). Referenced in the author's background (CV) — not directly applicable to this project's 5-day timebox, but informs the planning discipline applied.</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444444"/>
                <w:sz w:val="18"/>
                <w:szCs w:val="18"/>
              </w:rPr>
              <w:t xml:space="preserve">GL-P-024</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bCs/>
                <w:color w:val="1A1A1A"/>
                <w:sz w:val="20"/>
                <w:szCs w:val="20"/>
              </w:rPr>
              <w:t xml:space="preserve">EBM</w:t>
            </w:r>
          </w:p>
        </w:tc>
        <w:tc>
          <w:tcPr>
            <w:tcW w:type="dxa" w:w="5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Evidence-Based Management. A SAFe framework for measuring business value and guiding improvement using four key value areas: Current Value, Unrealised Value, Time-to-Market, and Ability to Innovate. Referenced in the EM/RTE context of the author's background.</w:t>
            </w:r>
          </w:p>
        </w:tc>
      </w:tr>
    </w:tbl>
    <w:p>
      <w:r>
        <w:rPr>
          <w:sz w:val="20"/>
          <w:szCs w:val="20"/>
        </w:rPr>
        <w:t xml:space="preserve"/>
      </w:r>
    </w:p>
    <w:p>
      <w:pPr>
        <w:pStyle w:val="Heading2"/>
      </w:pPr>
      <w:r>
        <w:rPr>
          <w:rFonts w:ascii="Arial" w:cs="Arial" w:eastAsia="Arial" w:hAnsi="Arial"/>
        </w:rPr>
        <w:t xml:space="preserve">Version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000"/>
        <w:gridCol w:w="2400"/>
        <w:gridCol w:w="3760"/>
      </w:tblGrid>
      <w:tr>
        <w:tc>
          <w:tcPr>
            <w:tcW w:type="dxa" w:w="12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vAlign w:val="center"/>
          </w:tcPr>
          <w:p>
            <w:r>
              <w:rPr>
                <w:rFonts w:ascii="Arial" w:cs="Arial" w:eastAsia="Arial" w:hAnsi="Arial"/>
                <w:b/>
                <w:bCs/>
                <w:color w:val="FFFFFF"/>
                <w:sz w:val="20"/>
                <w:szCs w:val="20"/>
              </w:rPr>
              <w:t xml:space="preserve">Version</w:t>
            </w:r>
          </w:p>
        </w:tc>
        <w:tc>
          <w:tcPr>
            <w:tcW w:type="dxa" w:w="20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vAlign w:val="center"/>
          </w:tcPr>
          <w:p>
            <w:r>
              <w:rPr>
                <w:rFonts w:ascii="Arial" w:cs="Arial" w:eastAsia="Arial" w:hAnsi="Arial"/>
                <w:b/>
                <w:bCs/>
                <w:color w:val="FFFFFF"/>
                <w:sz w:val="20"/>
                <w:szCs w:val="20"/>
              </w:rPr>
              <w:t xml:space="preserve">Date</w:t>
            </w:r>
          </w:p>
        </w:tc>
        <w:tc>
          <w:tcPr>
            <w:tcW w:type="dxa" w:w="24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vAlign w:val="center"/>
          </w:tcPr>
          <w:p>
            <w:r>
              <w:rPr>
                <w:rFonts w:ascii="Arial" w:cs="Arial" w:eastAsia="Arial" w:hAnsi="Arial"/>
                <w:b/>
                <w:bCs/>
                <w:color w:val="FFFFFF"/>
                <w:sz w:val="20"/>
                <w:szCs w:val="20"/>
              </w:rPr>
              <w:t xml:space="preserve">Author</w:t>
            </w:r>
          </w:p>
        </w:tc>
        <w:tc>
          <w:tcPr>
            <w:tcW w:type="dxa" w:w="376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vAlign w:val="center"/>
          </w:tcPr>
          <w:p>
            <w:r>
              <w:rPr>
                <w:rFonts w:ascii="Arial" w:cs="Arial" w:eastAsia="Arial" w:hAnsi="Arial"/>
                <w:b/>
                <w:bCs/>
                <w:color w:val="FFFFFF"/>
                <w:sz w:val="20"/>
                <w:szCs w:val="20"/>
              </w:rPr>
              <w:t xml:space="preserve">Changes</w:t>
            </w:r>
          </w:p>
        </w:tc>
      </w:tr>
      <w:tr>
        <w:tc>
          <w:tcPr>
            <w:tcW w:type="dxa" w:w="12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1.0</w:t>
            </w:r>
          </w:p>
        </w:tc>
        <w:tc>
          <w:tcPr>
            <w:tcW w:type="dxa" w:w="20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2026-04-16</w:t>
            </w:r>
          </w:p>
        </w:tc>
        <w:tc>
          <w:tcPr>
            <w:tcW w:type="dxa" w:w="240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Evgenii Subbotin</w:t>
            </w:r>
          </w:p>
        </w:tc>
        <w:tc>
          <w:tcPr>
            <w:tcW w:type="dxa" w:w="3760"/>
            <w:tcBorders>
              <w:top w:val="single" w:color="CCCCCC" w:sz="1"/>
              <w:left w:val="single" w:color="CCCCCC" w:sz="1"/>
              <w:bottom w:val="single" w:color="CCCCCC" w:sz="1"/>
              <w:right w:val="single" w:color="CCCCCC" w:sz="1"/>
            </w:tcBorders>
            <w:shd w:fill="D6E4F0" w:val="clear"/>
            <w:tcMar>
              <w:top w:type="dxa" w:w="100"/>
              <w:left w:type="dxa" w:w="120"/>
              <w:bottom w:type="dxa" w:w="100"/>
              <w:right w:type="dxa" w:w="120"/>
            </w:tcMar>
            <w:vAlign w:val="center"/>
          </w:tcPr>
          <w:p>
            <w:r>
              <w:rPr>
                <w:rFonts w:ascii="Arial" w:cs="Arial" w:eastAsia="Arial" w:hAnsi="Arial"/>
                <w:b w:val="false"/>
                <w:bCs w:val="false"/>
                <w:color w:val="1A1A1A"/>
                <w:sz w:val="20"/>
                <w:szCs w:val="20"/>
              </w:rPr>
              <w:t xml:space="preserve">Initial version — all sections complete</w:t>
            </w:r>
          </w:p>
        </w:tc>
      </w:tr>
    </w:tbl>
    <w:p>
      <w:r>
        <w:rPr>
          <w:sz w:val="20"/>
          <w:szCs w:val="20"/>
        </w:rPr>
        <w:t xml:space="preserve"/>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6" w:space="1"/>
      </w:pBdr>
      <w:tabs>
        <w:tab w:val="right" w:pos="9026"/>
      </w:tabs>
      <w:spacing w:before="120"/>
    </w:pPr>
    <w:r>
      <w:rPr>
        <w:rFonts w:ascii="Arial" w:cs="Arial" w:eastAsia="Arial" w:hAnsi="Arial"/>
        <w:color w:val="444444"/>
        <w:sz w:val="16"/>
        <w:szCs w:val="16"/>
      </w:rPr>
      <w:t xml:space="preserve">Evgenii Subbotin · Confidential</w:t>
    </w:r>
    <w:r>
      <w:rPr>
        <w:sz w:val="16"/>
        <w:szCs w:val="16"/>
      </w:rPr>
      <w:t xml:space="preserve">	</w:t>
    </w:r>
    <w:r>
      <w:rPr>
        <w:rFonts w:ascii="Arial" w:cs="Arial" w:eastAsia="Arial" w:hAnsi="Arial"/>
        <w:color w:val="444444"/>
        <w:sz w:val="16"/>
        <w:szCs w:val="16"/>
      </w:rPr>
      <w:t xml:space="preserve">Page </w:t>
    </w:r>
    <w:fldSimple w:instr="PAGE">
      <w:r>
        <w:rPr>
          <w:rFonts w:ascii="Arial" w:cs="Arial" w:eastAsia="Arial" w:hAnsi="Arial"/>
          <w:color w:val="444444"/>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1"/>
      </w:pBdr>
      <w:tabs>
        <w:tab w:val="right" w:pos="9026"/>
      </w:tabs>
      <w:spacing w:after="120"/>
    </w:pPr>
    <w:r>
      <w:rPr>
        <w:rFonts w:ascii="Arial" w:cs="Arial" w:eastAsia="Arial" w:hAnsi="Arial"/>
        <w:b/>
        <w:bCs/>
        <w:color w:val="1F3864"/>
        <w:sz w:val="18"/>
        <w:szCs w:val="18"/>
      </w:rPr>
      <w:t xml:space="preserve">DOC-001 · Project Glossary</w:t>
    </w:r>
    <w:r>
      <w:rPr>
        <w:sz w:val="18"/>
        <w:szCs w:val="18"/>
      </w:rPr>
      <w:t xml:space="preserve">	</w:t>
    </w:r>
    <w:r>
      <w:rPr>
        <w:rFonts w:ascii="Arial" w:cs="Arial" w:eastAsia="Arial" w:hAnsi="Arial"/>
        <w:color w:val="444444"/>
        <w:sz w:val="18"/>
        <w:szCs w:val="18"/>
      </w:rPr>
      <w:t xml:space="preserve">REM Waste — Booking Flow Platform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F3864"/>
      <w:sz w:val="36"/>
      <w:szCs w:val="36"/>
    </w:rPr>
  </w:style>
  <w:style w:type="paragraph" w:styleId="Heading2">
    <w:name w:val="Heading 2"/>
    <w:basedOn w:val="Normal"/>
    <w:next w:val="Normal"/>
    <w:qFormat/>
    <w:pPr>
      <w:spacing w:after="120" w:before="28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2026-04-16T08:13:53.178Z</dcterms:created>
  <dcterms:modified xsi:type="dcterms:W3CDTF">2026-04-16T08:13:53.178Z</dcterms:modified>
</cp:coreProperties>
</file>

<file path=docProps/custom.xml><?xml version="1.0" encoding="utf-8"?>
<Properties xmlns="http://schemas.openxmlformats.org/officeDocument/2006/custom-properties" xmlns:vt="http://schemas.openxmlformats.org/officeDocument/2006/docPropsVTypes"/>
</file>