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pPr>
      <w:r>
        <w:rPr>
          <w:rFonts w:ascii="Arial" w:cs="Arial" w:eastAsia="Arial" w:hAnsi="Arial"/>
          <w:b/>
          <w:bCs/>
          <w:color w:val="2E75B6"/>
          <w:sz w:val="24"/>
          <w:szCs w:val="24"/>
        </w:rPr>
        <w:t xml:space="preserve">DOC-004</w:t>
      </w:r>
    </w:p>
    <w:p>
      <w:pPr>
        <w:pStyle w:val="Heading1"/>
      </w:pPr>
      <w:r>
        <w:rPr>
          <w:rFonts w:ascii="Arial" w:cs="Arial" w:eastAsia="Arial" w:hAnsi="Arial"/>
        </w:rPr>
        <w:t xml:space="preserve">Architecture Decision Record Collection</w:t>
      </w:r>
    </w:p>
    <w:p>
      <w:pPr>
        <w:spacing w:after="320"/>
      </w:pPr>
      <w:r>
        <w:rPr>
          <w:rFonts w:ascii="Arial" w:cs="Arial" w:eastAsia="Arial" w:hAnsi="Arial"/>
          <w:i/>
          <w:iCs/>
          <w:color w:val="444444"/>
          <w:sz w:val="22"/>
          <w:szCs w:val="22"/>
        </w:rPr>
        <w:t xml:space="preserve">REM Waste — Booking Flow Platform  ·  Version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Document ID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DOC-004</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Title</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Architecture Decision Record Collection</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Project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REM Waste — Booking Flow Platform</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Version</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1.0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Status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Approved — All ADRs Accepted</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Author</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Evgenii Subbotin</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Date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2026-04-16</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References</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DOC-001 · DOC-002 · DOC-007</w:t>
            </w:r>
          </w:p>
        </w:tc>
      </w:tr>
    </w:tbl>
    <w:p>
      <w:r>
        <w:rPr>
          <w:sz w:val="10"/>
          <w:szCs w:val="10"/>
        </w:rPr>
        <w:t xml:space="preserve"/>
      </w:r>
    </w:p>
    <w:p>
      <w:pPr>
        <w:pStyle w:val="Heading2"/>
      </w:pPr>
      <w:r>
        <w:rPr>
          <w:rFonts w:ascii="Arial" w:cs="Arial" w:eastAsia="Arial" w:hAnsi="Arial"/>
        </w:rPr>
        <w:t xml:space="preserve">About This Document</w:t>
      </w:r>
    </w:p>
    <w:p>
      <w:pPr>
        <w:spacing w:after="140" w:before="60"/>
      </w:pPr>
      <w:r>
        <w:rPr>
          <w:rFonts w:ascii="Arial" w:cs="Arial" w:eastAsia="Arial" w:hAnsi="Arial"/>
          <w:color w:val="1A1A1A"/>
          <w:sz w:val="20"/>
          <w:szCs w:val="20"/>
        </w:rPr>
        <w:t xml:space="preserve">This document is the single collection of all Architecture Decision Records (ADRs) for the REM Waste Booking Flow Platform. Each ADR captures a significant technical decision in a structured format: Context (why a decision was needed), Options Considered (what was evaluated), Decision (what was chosen), Rationale (why), and Consequences (trade-offs accepted).</w:t>
      </w:r>
    </w:p>
    <w:p>
      <w:pPr>
        <w:spacing w:after="140" w:before="60"/>
      </w:pPr>
      <w:r>
        <w:rPr>
          <w:rFonts w:ascii="Arial" w:cs="Arial" w:eastAsia="Arial" w:hAnsi="Arial"/>
          <w:color w:val="1A1A1A"/>
          <w:sz w:val="20"/>
          <w:szCs w:val="20"/>
        </w:rPr>
        <w:t xml:space="preserve">ADRs are immutable once accepted — they represent the decision log of the project. If a decision changes, a new superseding ADR is created rather than editing the original. All ADRs reference DOC-007 (Tech Stack Evaluation) for the scored option comparisons.</w:t>
      </w:r>
    </w:p>
    <w:p>
      <w:r>
        <w:rPr>
          <w:sz w:val="10"/>
          <w:szCs w:val="10"/>
        </w:rPr>
        <w:t xml:space="preserve"/>
      </w:r>
    </w:p>
    <w:p>
      <w:pPr>
        <w:pStyle w:val="Heading2"/>
      </w:pPr>
      <w:r>
        <w:rPr>
          <w:rFonts w:ascii="Arial" w:cs="Arial" w:eastAsia="Arial" w:hAnsi="Arial"/>
        </w:rPr>
        <w:t xml:space="preserve">ADR Index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600"/>
        <w:gridCol w:w="2400"/>
        <w:gridCol w:w="1960"/>
      </w:tblGrid>
      <w:tr>
        <w:trPr>
          <w:tblHeader/>
        </w:trPr>
        <w:tc>
          <w:tcPr>
            <w:tcW w:type="dxa" w:w="1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ADR ID</w:t>
            </w:r>
          </w:p>
        </w:tc>
        <w:tc>
          <w:tcPr>
            <w:tcW w:type="dxa" w:w="3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Decision</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Status</w:t>
            </w:r>
          </w:p>
        </w:tc>
        <w:tc>
          <w:tcPr>
            <w:tcW w:type="dxa" w:w="19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Date</w:t>
            </w:r>
          </w:p>
        </w:tc>
      </w:tr>
      <w:tr>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ADR-001</w:t>
            </w:r>
          </w:p>
        </w:tc>
        <w:tc>
          <w:tcPr>
            <w:tcW w:type="dxa" w:w="3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Next.js 14 Monorepo + TypeScript + Tailwind CSS</w:t>
            </w:r>
          </w:p>
        </w:tc>
        <w:tc>
          <w:tcPr>
            <w:tcW w:type="dxa" w:w="24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Accepted</w:t>
            </w:r>
          </w:p>
        </w:tc>
        <w:tc>
          <w:tcPr>
            <w:tcW w:type="dxa" w:w="19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20"/>
                <w:szCs w:val="20"/>
              </w:rPr>
              <w:t xml:space="preserve">2026-04-16</w:t>
            </w:r>
          </w:p>
        </w:tc>
      </w:tr>
      <w:tr>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ADR-002</w:t>
            </w:r>
          </w:p>
        </w:tc>
        <w:tc>
          <w:tcPr>
            <w:tcW w:type="dxa" w:w="3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Vercel as Deployment Platform</w:t>
            </w:r>
          </w:p>
        </w:tc>
        <w:tc>
          <w:tcPr>
            <w:tcW w:type="dxa" w:w="24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Accepted</w:t>
            </w:r>
          </w:p>
        </w:tc>
        <w:tc>
          <w:tcPr>
            <w:tcW w:type="dxa" w:w="19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20"/>
                <w:szCs w:val="20"/>
              </w:rPr>
              <w:t xml:space="preserve">2026-04-16</w:t>
            </w:r>
          </w:p>
        </w:tc>
      </w:tr>
      <w:tr>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ADR-003</w:t>
            </w:r>
          </w:p>
        </w:tc>
        <w:tc>
          <w:tcPr>
            <w:tcW w:type="dxa" w:w="3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GitHub + GitHub Actions for VCS and CI/CD</w:t>
            </w:r>
          </w:p>
        </w:tc>
        <w:tc>
          <w:tcPr>
            <w:tcW w:type="dxa" w:w="24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Accepted</w:t>
            </w:r>
          </w:p>
        </w:tc>
        <w:tc>
          <w:tcPr>
            <w:tcW w:type="dxa" w:w="19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20"/>
                <w:szCs w:val="20"/>
              </w:rPr>
              <w:t xml:space="preserve">2026-04-16</w:t>
            </w:r>
          </w:p>
        </w:tc>
      </w:tr>
      <w:tr>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ADR-004</w:t>
            </w:r>
          </w:p>
        </w:tc>
        <w:tc>
          <w:tcPr>
            <w:tcW w:type="dxa" w:w="3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Playwright as Unified Test Automation Framework</w:t>
            </w:r>
          </w:p>
        </w:tc>
        <w:tc>
          <w:tcPr>
            <w:tcW w:type="dxa" w:w="24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Accepted</w:t>
            </w:r>
          </w:p>
        </w:tc>
        <w:tc>
          <w:tcPr>
            <w:tcW w:type="dxa" w:w="19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20"/>
                <w:szCs w:val="20"/>
              </w:rPr>
              <w:t xml:space="preserve">2026-04-16</w:t>
            </w:r>
          </w:p>
        </w:tc>
      </w:tr>
      <w:tr>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ADR-005</w:t>
            </w:r>
          </w:p>
        </w:tc>
        <w:tc>
          <w:tcPr>
            <w:tcW w:type="dxa" w:w="3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Test Reporting: Playwright HTML (MVP) + Allure (Should)</w:t>
            </w:r>
          </w:p>
        </w:tc>
        <w:tc>
          <w:tcPr>
            <w:tcW w:type="dxa" w:w="24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Accepted</w:t>
            </w:r>
          </w:p>
        </w:tc>
        <w:tc>
          <w:tcPr>
            <w:tcW w:type="dxa" w:w="19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20"/>
                <w:szCs w:val="20"/>
              </w:rPr>
              <w:t xml:space="preserve">2026-04-16</w:t>
            </w:r>
          </w:p>
        </w:tc>
      </w:tr>
      <w:tr>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ADR-006</w:t>
            </w:r>
          </w:p>
        </w:tc>
        <w:tc>
          <w:tcPr>
            <w:tcW w:type="dxa" w:w="3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Claude Code as AI Engineering Accelerator</w:t>
            </w:r>
          </w:p>
        </w:tc>
        <w:tc>
          <w:tcPr>
            <w:tcW w:type="dxa" w:w="24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Accepted</w:t>
            </w:r>
          </w:p>
        </w:tc>
        <w:tc>
          <w:tcPr>
            <w:tcW w:type="dxa" w:w="19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20"/>
                <w:szCs w:val="20"/>
              </w:rPr>
              <w:t xml:space="preserve">2026-04-16</w:t>
            </w:r>
          </w:p>
        </w:tc>
      </w:tr>
    </w:tbl>
    <w:p>
      <w:r>
        <w:rPr>
          <w:sz w:val="10"/>
          <w:szCs w:val="10"/>
        </w:rPr>
        <w:t xml:space="preserve"/>
      </w:r>
    </w:p>
    <w:p>
      <w:r>
        <w:br w:type="page"/>
      </w:r>
    </w:p>
    <w:p>
      <w:pPr>
        <w:pStyle w:val="Heading2"/>
      </w:pPr>
      <w:r>
        <w:rPr>
          <w:rFonts w:ascii="Arial" w:cs="Arial" w:eastAsia="Arial" w:hAnsi="Arial"/>
        </w:rPr>
        <w:t xml:space="preserve">ADR-001 — Framework &amp; Language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760"/>
        <w:gridCol w:w="1800"/>
      </w:tblGrid>
      <w:tr>
        <w:tc>
          <w:tcPr>
            <w:tcW w:type="dxa" w:w="9360"/>
            <w:gridSpan w:val="3"/>
            <w:tcBorders>
              <w:top w:val="single" w:color="CCCCCC" w:sz="1"/>
              <w:left w:val="single" w:color="CCCCCC" w:sz="1"/>
              <w:bottom w:val="single" w:color="CCCCCC" w:sz="1"/>
              <w:right w:val="single" w:color="CCCCCC" w:sz="1"/>
            </w:tcBorders>
            <w:shd w:fill="1F3864" w:val="clear"/>
            <w:tcMar>
              <w:top w:type="dxa" w:w="120"/>
              <w:left w:type="dxa" w:w="140"/>
              <w:bottom w:type="dxa" w:w="120"/>
              <w:right w:type="dxa" w:w="140"/>
            </w:tcMar>
          </w:tcPr>
          <w:p>
            <w:r>
              <w:rPr>
                <w:rFonts w:ascii="Arial" w:cs="Arial" w:eastAsia="Arial" w:hAnsi="Arial"/>
                <w:b/>
                <w:bCs/>
                <w:color w:val="D6E4F0"/>
                <w:sz w:val="24"/>
                <w:szCs w:val="24"/>
              </w:rPr>
              <w:t xml:space="preserve">ADR-001  ·  </w:t>
            </w:r>
            <w:r>
              <w:rPr>
                <w:rFonts w:ascii="Arial" w:cs="Arial" w:eastAsia="Arial" w:hAnsi="Arial"/>
                <w:b/>
                <w:bCs/>
                <w:color w:val="FFFFFF"/>
                <w:sz w:val="24"/>
                <w:szCs w:val="24"/>
              </w:rPr>
              <w:t xml:space="preserve">Next.js 14 Monorepo + TypeScript + Tailwind CSS</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Status</w:t>
            </w:r>
          </w:p>
        </w:tc>
        <w:tc>
          <w:tcPr>
            <w:tcW w:type="dxa" w:w="5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20"/>
                <w:szCs w:val="20"/>
              </w:rPr>
              <w:t xml:space="preserve">Date: 2026-04-16   |   Decider: Evgenii Subbotin   |   Refs: DOC-007 §Framework</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color w:val="375623"/>
                <w:sz w:val="20"/>
                <w:szCs w:val="20"/>
              </w:rPr>
              <w:t xml:space="preserve">Accepted</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Context</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The project requires a frontend UI (4-step booking wizard) and a backend API (4 endpoints per the assessment contract). The decision is whether to use a full-stack monorepo framework or separate frontend and backend services. Constraints: 5-day timebox, solo engineer, zero infrastructure budget, public deployment required.</w:t>
            </w:r>
          </w:p>
        </w:tc>
      </w:tr>
    </w:tbl>
    <w:p>
      <w:r>
        <w:rPr>
          <w:sz w:val="10"/>
          <w:szCs w:val="10"/>
        </w:rPr>
        <w:t xml:space="preserve"/>
      </w:r>
    </w:p>
    <w:p>
      <w:pPr>
        <w:spacing w:after="140" w:before="60"/>
      </w:pPr>
      <w:r>
        <w:rPr>
          <w:rFonts w:ascii="Arial" w:cs="Arial" w:eastAsia="Arial" w:hAnsi="Arial"/>
          <w:b/>
          <w:bCs/>
          <w:color w:val="1A1A1A"/>
          <w:sz w:val="20"/>
          <w:szCs w:val="20"/>
        </w:rPr>
        <w:t xml:space="preserve">Options Considered: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600"/>
        <w:gridCol w:w="1800"/>
        <w:gridCol w:w="1500"/>
        <w:gridCol w:w="1860"/>
      </w:tblGrid>
      <w:tr>
        <w:trPr>
          <w:tblHeader/>
        </w:trPr>
        <w:tc>
          <w:tcPr>
            <w:tcW w:type="dxa" w:w="2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Option</w:t>
            </w:r>
          </w:p>
        </w:tc>
        <w:tc>
          <w:tcPr>
            <w:tcW w:type="dxa" w:w="1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Monorepo</w:t>
            </w:r>
          </w:p>
        </w:tc>
        <w:tc>
          <w:tcPr>
            <w:tcW w:type="dxa" w:w="1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Deploy Units</w:t>
            </w:r>
          </w:p>
        </w:tc>
        <w:tc>
          <w:tcPr>
            <w:tcW w:type="dxa" w:w="15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TS Support</w:t>
            </w:r>
          </w:p>
        </w:tc>
        <w:tc>
          <w:tcPr>
            <w:tcW w:type="dxa" w:w="18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5-Day Feasibility</w:t>
            </w:r>
          </w:p>
        </w:tc>
      </w:tr>
      <w:tr>
        <w:tc>
          <w:tcPr>
            <w:tcW w:type="dxa" w:w="26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  Next.js 14 (App Router)</w:t>
            </w:r>
          </w:p>
        </w:tc>
        <w:tc>
          <w:tcPr>
            <w:tcW w:type="dxa" w:w="1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 — FE + API in one repo</w:t>
            </w:r>
          </w:p>
        </w:tc>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1</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First-class</w:t>
            </w:r>
          </w:p>
        </w:tc>
        <w:tc>
          <w:tcPr>
            <w:tcW w:type="dxa" w:w="18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High</w:t>
            </w:r>
          </w:p>
        </w:tc>
      </w:tr>
      <w:tr>
        <w:tc>
          <w:tcPr>
            <w:tcW w:type="dxa" w:w="2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Create React App + Express</w:t>
            </w:r>
          </w:p>
        </w:tc>
        <w:tc>
          <w:tcPr>
            <w:tcW w:type="dxa" w:w="1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No — 2 repos</w:t>
            </w:r>
          </w:p>
        </w:tc>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2</w:t>
            </w:r>
          </w:p>
        </w:tc>
        <w:tc>
          <w:tcPr>
            <w:tcW w:type="dxa" w:w="1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Manual config</w:t>
            </w:r>
          </w:p>
        </w:tc>
        <w:tc>
          <w:tcPr>
            <w:tcW w:type="dxa" w:w="18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Medium</w:t>
            </w:r>
          </w:p>
        </w:tc>
      </w:tr>
      <w:tr>
        <w:tc>
          <w:tcPr>
            <w:tcW w:type="dxa" w:w="2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Nuxt 3 (Vue)</w:t>
            </w:r>
          </w:p>
        </w:tc>
        <w:tc>
          <w:tcPr>
            <w:tcW w:type="dxa" w:w="1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w:t>
            </w:r>
          </w:p>
        </w:tc>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1</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Good</w:t>
            </w:r>
          </w:p>
        </w:tc>
        <w:tc>
          <w:tcPr>
            <w:tcW w:type="dxa" w:w="18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Medium — Vue less familiar</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Decision</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Next.js 14 with App Router. TypeScript throughout all layers. Tailwind CSS for styling.</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Rationale</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Next.js eliminates the need for a separate Express server by providing API Route Handlers within the same codebase. A single deployment unit to Vercel means one configuration, one CI/CD step, and one domain. TypeScript validates the API contract types at compile time, catching contract mismatches before test execution. Tailwind enables responsive layout without CSS file management overhead — critical in a 5-day sprint.</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Consequences</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Positive: Single repo, single deployment, TypeScript type safety across FE and API, reduced configuration overhead. Negative: App Router introduces a learning curve for server vs client components. Mitigation: Claude Code (GL-T-001) assists with component scaffolding; all components default to client-side unless SSR is explicitly needed.</w:t>
            </w:r>
          </w:p>
        </w:tc>
      </w:tr>
    </w:tbl>
    <w:p>
      <w:r>
        <w:rPr>
          <w:sz w:val="10"/>
          <w:szCs w:val="10"/>
        </w:rPr>
        <w:t xml:space="preserve"/>
      </w:r>
    </w:p>
    <w:p>
      <w:r>
        <w:br w:type="page"/>
      </w:r>
    </w:p>
    <w:p>
      <w:pPr>
        <w:pStyle w:val="Heading2"/>
      </w:pPr>
      <w:r>
        <w:rPr>
          <w:rFonts w:ascii="Arial" w:cs="Arial" w:eastAsia="Arial" w:hAnsi="Arial"/>
        </w:rPr>
        <w:t xml:space="preserve">ADR-002 — Deployment Platform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760"/>
        <w:gridCol w:w="1800"/>
      </w:tblGrid>
      <w:tr>
        <w:tc>
          <w:tcPr>
            <w:tcW w:type="dxa" w:w="9360"/>
            <w:gridSpan w:val="3"/>
            <w:tcBorders>
              <w:top w:val="single" w:color="CCCCCC" w:sz="1"/>
              <w:left w:val="single" w:color="CCCCCC" w:sz="1"/>
              <w:bottom w:val="single" w:color="CCCCCC" w:sz="1"/>
              <w:right w:val="single" w:color="CCCCCC" w:sz="1"/>
            </w:tcBorders>
            <w:shd w:fill="1F3864" w:val="clear"/>
            <w:tcMar>
              <w:top w:type="dxa" w:w="120"/>
              <w:left w:type="dxa" w:w="140"/>
              <w:bottom w:type="dxa" w:w="120"/>
              <w:right w:type="dxa" w:w="140"/>
            </w:tcMar>
          </w:tcPr>
          <w:p>
            <w:r>
              <w:rPr>
                <w:rFonts w:ascii="Arial" w:cs="Arial" w:eastAsia="Arial" w:hAnsi="Arial"/>
                <w:b/>
                <w:bCs/>
                <w:color w:val="D6E4F0"/>
                <w:sz w:val="24"/>
                <w:szCs w:val="24"/>
              </w:rPr>
              <w:t xml:space="preserve">ADR-002  ·  </w:t>
            </w:r>
            <w:r>
              <w:rPr>
                <w:rFonts w:ascii="Arial" w:cs="Arial" w:eastAsia="Arial" w:hAnsi="Arial"/>
                <w:b/>
                <w:bCs/>
                <w:color w:val="FFFFFF"/>
                <w:sz w:val="24"/>
                <w:szCs w:val="24"/>
              </w:rPr>
              <w:t xml:space="preserve">Vercel as Deployment Platform</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Status</w:t>
            </w:r>
          </w:p>
        </w:tc>
        <w:tc>
          <w:tcPr>
            <w:tcW w:type="dxa" w:w="5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20"/>
                <w:szCs w:val="20"/>
              </w:rPr>
              <w:t xml:space="preserve">Date: 2026-04-16   |   Decider: Evgenii Subbotin   |   Refs: DOC-007 §Deployment</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color w:val="375623"/>
                <w:sz w:val="20"/>
                <w:szCs w:val="20"/>
              </w:rPr>
              <w:t xml:space="preserve">Accepted</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Context</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The assessment requires a public demo URL accessible without login, VPN, or expiry. The project uses Next.js 14. A deployment platform must be selected that satisfies these constraints within the zero-budget constraint.</w:t>
            </w:r>
          </w:p>
        </w:tc>
      </w:tr>
    </w:tbl>
    <w:p>
      <w:r>
        <w:rPr>
          <w:sz w:val="10"/>
          <w:szCs w:val="10"/>
        </w:rPr>
        <w:t xml:space="preserve"/>
      </w:r>
    </w:p>
    <w:p>
      <w:pPr>
        <w:spacing w:after="140" w:before="60"/>
      </w:pPr>
      <w:r>
        <w:rPr>
          <w:rFonts w:ascii="Arial" w:cs="Arial" w:eastAsia="Arial" w:hAnsi="Arial"/>
          <w:b/>
          <w:bCs/>
          <w:color w:val="1A1A1A"/>
          <w:sz w:val="20"/>
          <w:szCs w:val="20"/>
        </w:rPr>
        <w:t xml:space="preserve">Options Considered: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600"/>
        <w:gridCol w:w="1500"/>
        <w:gridCol w:w="1500"/>
        <w:gridCol w:w="1360"/>
      </w:tblGrid>
      <w:tr>
        <w:trPr>
          <w:tblHeader/>
        </w:trPr>
        <w:tc>
          <w:tcPr>
            <w:tcW w:type="dxa" w:w="2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Option</w:t>
            </w:r>
          </w:p>
        </w:tc>
        <w:tc>
          <w:tcPr>
            <w:tcW w:type="dxa" w:w="1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Free Tier</w:t>
            </w:r>
          </w:p>
        </w:tc>
        <w:tc>
          <w:tcPr>
            <w:tcW w:type="dxa" w:w="1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Next.js Native</w:t>
            </w:r>
          </w:p>
        </w:tc>
        <w:tc>
          <w:tcPr>
            <w:tcW w:type="dxa" w:w="15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Preview URLs</w:t>
            </w:r>
          </w:p>
        </w:tc>
        <w:tc>
          <w:tcPr>
            <w:tcW w:type="dxa" w:w="15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Setup Time</w:t>
            </w:r>
          </w:p>
        </w:tc>
        <w:tc>
          <w:tcPr>
            <w:tcW w:type="dxa" w:w="13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Rollback</w:t>
            </w:r>
          </w:p>
        </w:tc>
      </w:tr>
      <w:tr>
        <w:tc>
          <w:tcPr>
            <w:tcW w:type="dxa" w:w="20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  Vercel</w:t>
            </w:r>
          </w:p>
        </w:tc>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w:t>
            </w:r>
          </w:p>
        </w:tc>
        <w:tc>
          <w:tcPr>
            <w:tcW w:type="dxa" w:w="1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 (creator)</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Automatic per PR</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&lt; 5 min</w:t>
            </w:r>
          </w:p>
        </w:tc>
        <w:tc>
          <w:tcPr>
            <w:tcW w:type="dxa" w:w="1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Instant</w:t>
            </w:r>
          </w:p>
        </w:tc>
      </w:tr>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AWS (S3+CF+Lambda)</w:t>
            </w:r>
          </w:p>
        </w:tc>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Partial</w:t>
            </w:r>
          </w:p>
        </w:tc>
        <w:tc>
          <w:tcPr>
            <w:tcW w:type="dxa" w:w="1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No — manual config</w:t>
            </w:r>
          </w:p>
        </w:tc>
        <w:tc>
          <w:tcPr>
            <w:tcW w:type="dxa" w:w="1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Manual only</w:t>
            </w:r>
          </w:p>
        </w:tc>
        <w:tc>
          <w:tcPr>
            <w:tcW w:type="dxa" w:w="1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2+ hours</w:t>
            </w:r>
          </w:p>
        </w:tc>
        <w:tc>
          <w:tcPr>
            <w:tcW w:type="dxa" w:w="13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Manual</w:t>
            </w:r>
          </w:p>
        </w:tc>
      </w:tr>
      <w:tr>
        <w:tc>
          <w:tcPr>
            <w:tcW w:type="dxa" w:w="2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Netlify</w:t>
            </w:r>
          </w:p>
        </w:tc>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w:t>
            </w:r>
          </w:p>
        </w:tc>
        <w:tc>
          <w:tcPr>
            <w:tcW w:type="dxa" w:w="1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Partial</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&lt; 15 min</w:t>
            </w:r>
          </w:p>
        </w:tc>
        <w:tc>
          <w:tcPr>
            <w:tcW w:type="dxa" w:w="1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One-click</w:t>
            </w:r>
          </w:p>
        </w:tc>
      </w:tr>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Railway</w:t>
            </w:r>
          </w:p>
        </w:tc>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Free tier limited</w:t>
            </w:r>
          </w:p>
        </w:tc>
        <w:tc>
          <w:tcPr>
            <w:tcW w:type="dxa" w:w="1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No</w:t>
            </w:r>
          </w:p>
        </w:tc>
        <w:tc>
          <w:tcPr>
            <w:tcW w:type="dxa" w:w="1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w:t>
            </w:r>
          </w:p>
        </w:tc>
        <w:tc>
          <w:tcPr>
            <w:tcW w:type="dxa" w:w="1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&lt; 15 min</w:t>
            </w:r>
          </w:p>
        </w:tc>
        <w:tc>
          <w:tcPr>
            <w:tcW w:type="dxa" w:w="13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One-click</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Decision</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Vercel free tier. Repository connected via GitHub integration for automatic deployments.</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Rationale</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Vercel is the company that created Next.js. Zero-configuration deployment for Next.js is a core product feature. Automatic preview deployments on every pull request provide a measurable DORA Lead Time for Changes signal and allow assessment of changes before merging. Instant rollback (GL-T-018) is documented as the primary incident response procedure in DOC-006. AWS scored 16/30 in DOC-007 due to estimated 2+ hours of setup time that would consume a significant portion of the 5-day timebox without delivering any functional value to the assessment.</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Consequences</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Positive: Zero infrastructure cost, zero configuration, public URL for assessment submission, preview URLs per PR, built-in analytics. Negative: Vendor dependency on Vercel. If Vercel free tier limits are exceeded (unlikely for this project size), migration to Netlify is estimated at under 30 minutes.</w:t>
            </w:r>
          </w:p>
        </w:tc>
      </w:tr>
    </w:tbl>
    <w:p>
      <w:r>
        <w:rPr>
          <w:sz w:val="10"/>
          <w:szCs w:val="10"/>
        </w:rPr>
        <w:t xml:space="preserve"/>
      </w:r>
    </w:p>
    <w:p>
      <w:r>
        <w:br w:type="page"/>
      </w:r>
    </w:p>
    <w:p>
      <w:pPr>
        <w:pStyle w:val="Heading2"/>
      </w:pPr>
      <w:r>
        <w:rPr>
          <w:rFonts w:ascii="Arial" w:cs="Arial" w:eastAsia="Arial" w:hAnsi="Arial"/>
        </w:rPr>
        <w:t xml:space="preserve">ADR-003 — Version Control &amp; CI/CD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760"/>
        <w:gridCol w:w="1800"/>
      </w:tblGrid>
      <w:tr>
        <w:tc>
          <w:tcPr>
            <w:tcW w:type="dxa" w:w="9360"/>
            <w:gridSpan w:val="3"/>
            <w:tcBorders>
              <w:top w:val="single" w:color="CCCCCC" w:sz="1"/>
              <w:left w:val="single" w:color="CCCCCC" w:sz="1"/>
              <w:bottom w:val="single" w:color="CCCCCC" w:sz="1"/>
              <w:right w:val="single" w:color="CCCCCC" w:sz="1"/>
            </w:tcBorders>
            <w:shd w:fill="1F3864" w:val="clear"/>
            <w:tcMar>
              <w:top w:type="dxa" w:w="120"/>
              <w:left w:type="dxa" w:w="140"/>
              <w:bottom w:type="dxa" w:w="120"/>
              <w:right w:type="dxa" w:w="140"/>
            </w:tcMar>
          </w:tcPr>
          <w:p>
            <w:r>
              <w:rPr>
                <w:rFonts w:ascii="Arial" w:cs="Arial" w:eastAsia="Arial" w:hAnsi="Arial"/>
                <w:b/>
                <w:bCs/>
                <w:color w:val="D6E4F0"/>
                <w:sz w:val="24"/>
                <w:szCs w:val="24"/>
              </w:rPr>
              <w:t xml:space="preserve">ADR-003  ·  </w:t>
            </w:r>
            <w:r>
              <w:rPr>
                <w:rFonts w:ascii="Arial" w:cs="Arial" w:eastAsia="Arial" w:hAnsi="Arial"/>
                <w:b/>
                <w:bCs/>
                <w:color w:val="FFFFFF"/>
                <w:sz w:val="24"/>
                <w:szCs w:val="24"/>
              </w:rPr>
              <w:t xml:space="preserve">GitHub + GitHub Actions for VCS and CI/CD</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Status</w:t>
            </w:r>
          </w:p>
        </w:tc>
        <w:tc>
          <w:tcPr>
            <w:tcW w:type="dxa" w:w="5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20"/>
                <w:szCs w:val="20"/>
              </w:rPr>
              <w:t xml:space="preserve">Date: 2026-04-16   |   Decider: Evgenii Subbotin   |   Refs: DOC-007 §CI/CD</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color w:val="375623"/>
                <w:sz w:val="20"/>
                <w:szCs w:val="20"/>
              </w:rPr>
              <w:t xml:space="preserve">Accepted</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Context</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Version control and CI/CD automation are required. The CI/CD pipeline must: enforce TypeScript compilation as a quality gate, run the Playwright test suite on every pull request, and trigger deployment to Vercel on merge to main. A task management solution is also needed to demonstrate backlog and sprint tracking without using private Jira.</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Decision</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GitHub for source control and portfolio visibility. GitHub Actions for CI/CD. GitHub Projects for task board (DOC-003 Backlog).</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Rationale</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GitHub Actions is natively integrated with the GitHub repository — no external service account or webhook configuration required. The free tier provides sufficient build minutes for a project of this scope. GitHub Projects provides a public-facing Kanban board that demonstrates backlog management capability without exposing a private Jira workspace. The public repository is itself a portfolio artefact: commit history, branch strategy, PR descriptions, and CI/CD run history are all visible to the assessment evaluator.</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Pipeline Design</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On every push/PR: (1) Checkout → (2) npm ci → (3) tsc --noEmit (TypeScript quality gate) → (4) npx playwright install chromium → (5) Playwright test suite → (6) Upload HTML report as artefact. On merge to main: Vercel deployment trigger (via GitHub integration — no explicit workflow step needed).</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Consequences</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Positive: All project activity visible in one place; free; no external services. Negative: GitHub Actions free tier has concurrency limits that could slow CI on simultaneous runs — not a concern for a solo project.</w:t>
            </w:r>
          </w:p>
        </w:tc>
      </w:tr>
    </w:tbl>
    <w:p>
      <w:r>
        <w:rPr>
          <w:sz w:val="10"/>
          <w:szCs w:val="10"/>
        </w:rPr>
        <w:t xml:space="preserve"/>
      </w:r>
    </w:p>
    <w:p>
      <w:r>
        <w:br w:type="page"/>
      </w:r>
    </w:p>
    <w:p>
      <w:pPr>
        <w:pStyle w:val="Heading2"/>
      </w:pPr>
      <w:r>
        <w:rPr>
          <w:rFonts w:ascii="Arial" w:cs="Arial" w:eastAsia="Arial" w:hAnsi="Arial"/>
        </w:rPr>
        <w:t xml:space="preserve">ADR-004 — Test Automation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760"/>
        <w:gridCol w:w="1800"/>
      </w:tblGrid>
      <w:tr>
        <w:tc>
          <w:tcPr>
            <w:tcW w:type="dxa" w:w="9360"/>
            <w:gridSpan w:val="3"/>
            <w:tcBorders>
              <w:top w:val="single" w:color="CCCCCC" w:sz="1"/>
              <w:left w:val="single" w:color="CCCCCC" w:sz="1"/>
              <w:bottom w:val="single" w:color="CCCCCC" w:sz="1"/>
              <w:right w:val="single" w:color="CCCCCC" w:sz="1"/>
            </w:tcBorders>
            <w:shd w:fill="1F3864" w:val="clear"/>
            <w:tcMar>
              <w:top w:type="dxa" w:w="120"/>
              <w:left w:type="dxa" w:w="140"/>
              <w:bottom w:type="dxa" w:w="120"/>
              <w:right w:type="dxa" w:w="140"/>
            </w:tcMar>
          </w:tcPr>
          <w:p>
            <w:r>
              <w:rPr>
                <w:rFonts w:ascii="Arial" w:cs="Arial" w:eastAsia="Arial" w:hAnsi="Arial"/>
                <w:b/>
                <w:bCs/>
                <w:color w:val="D6E4F0"/>
                <w:sz w:val="24"/>
                <w:szCs w:val="24"/>
              </w:rPr>
              <w:t xml:space="preserve">ADR-004  ·  </w:t>
            </w:r>
            <w:r>
              <w:rPr>
                <w:rFonts w:ascii="Arial" w:cs="Arial" w:eastAsia="Arial" w:hAnsi="Arial"/>
                <w:b/>
                <w:bCs/>
                <w:color w:val="FFFFFF"/>
                <w:sz w:val="24"/>
                <w:szCs w:val="24"/>
              </w:rPr>
              <w:t xml:space="preserve">Playwright as Unified Test Automation Framework</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Status</w:t>
            </w:r>
          </w:p>
        </w:tc>
        <w:tc>
          <w:tcPr>
            <w:tcW w:type="dxa" w:w="5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20"/>
                <w:szCs w:val="20"/>
              </w:rPr>
              <w:t xml:space="preserve">Date: 2026-04-16   |   Decider: Evgenii Subbotin   |   Refs: DOC-007 §Testing</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color w:val="375623"/>
                <w:sz w:val="20"/>
                <w:szCs w:val="20"/>
              </w:rPr>
              <w:t xml:space="preserve">Accepted</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Context</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The assessment requires: UI/E2E automation (2 complete booking flows), API test automation (all 4 endpoints), accessibility checking (WCAG 2.1 AA), visual regression evidence, and mobile viewport screenshots. The decision is whether to use a single unified tool or separate tools per test type.</w:t>
            </w:r>
          </w:p>
        </w:tc>
      </w:tr>
    </w:tbl>
    <w:p>
      <w:r>
        <w:rPr>
          <w:sz w:val="10"/>
          <w:szCs w:val="10"/>
        </w:rPr>
        <w:t xml:space="preserve"/>
      </w:r>
    </w:p>
    <w:p>
      <w:pPr>
        <w:spacing w:after="140" w:before="60"/>
      </w:pPr>
      <w:r>
        <w:rPr>
          <w:rFonts w:ascii="Arial" w:cs="Arial" w:eastAsia="Arial" w:hAnsi="Arial"/>
          <w:b/>
          <w:bCs/>
          <w:color w:val="1A1A1A"/>
          <w:sz w:val="20"/>
          <w:szCs w:val="20"/>
        </w:rPr>
        <w:t xml:space="preserve">Options Considered: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1200"/>
        <w:gridCol w:w="1000"/>
        <w:gridCol w:w="1000"/>
        <w:gridCol w:w="1360"/>
        <w:gridCol w:w="1400"/>
      </w:tblGrid>
      <w:tr>
        <w:trPr>
          <w:tblHeader/>
        </w:trPr>
        <w:tc>
          <w:tcPr>
            <w:tcW w:type="dxa" w:w="2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Option</w:t>
            </w:r>
          </w:p>
        </w:tc>
        <w:tc>
          <w:tcPr>
            <w:tcW w:type="dxa" w:w="1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UI E2E</w:t>
            </w:r>
          </w:p>
        </w:tc>
        <w:tc>
          <w:tcPr>
            <w:tcW w:type="dxa" w:w="1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API Tests</w:t>
            </w:r>
          </w:p>
        </w:tc>
        <w:tc>
          <w:tcPr>
            <w:tcW w:type="dxa" w:w="1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A11y</w:t>
            </w:r>
          </w:p>
        </w:tc>
        <w:tc>
          <w:tcPr>
            <w:tcW w:type="dxa" w:w="1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Visual</w:t>
            </w:r>
          </w:p>
        </w:tc>
        <w:tc>
          <w:tcPr>
            <w:tcW w:type="dxa" w:w="13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Single Runner</w:t>
            </w:r>
          </w:p>
        </w:tc>
        <w:tc>
          <w:tcPr>
            <w:tcW w:type="dxa" w:w="1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TS Native</w:t>
            </w:r>
          </w:p>
        </w:tc>
      </w:tr>
      <w:tr>
        <w:tc>
          <w:tcPr>
            <w:tcW w:type="dxa" w:w="20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  Playwright</w:t>
            </w:r>
          </w:p>
        </w:tc>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w:t>
            </w:r>
          </w:p>
        </w:tc>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 (native)</w:t>
            </w:r>
          </w:p>
        </w:tc>
        <w:tc>
          <w:tcPr>
            <w:tcW w:type="dxa" w:w="1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axe-core plugin</w:t>
            </w:r>
          </w:p>
        </w:tc>
        <w:tc>
          <w:tcPr>
            <w:tcW w:type="dxa" w:w="1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 (built-in)</w:t>
            </w:r>
          </w:p>
        </w:tc>
        <w:tc>
          <w:tcPr>
            <w:tcW w:type="dxa" w:w="1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w:t>
            </w:r>
          </w:p>
        </w:tc>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w:t>
            </w:r>
          </w:p>
        </w:tc>
      </w:tr>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Cypress + Postman</w:t>
            </w:r>
          </w:p>
        </w:tc>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w:t>
            </w:r>
          </w:p>
        </w:tc>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Postman only</w:t>
            </w:r>
          </w:p>
        </w:tc>
        <w:tc>
          <w:tcPr>
            <w:tcW w:type="dxa" w:w="1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Separate CLI</w:t>
            </w:r>
          </w:p>
        </w:tc>
        <w:tc>
          <w:tcPr>
            <w:tcW w:type="dxa" w:w="1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Separate tool</w:t>
            </w:r>
          </w:p>
        </w:tc>
        <w:tc>
          <w:tcPr>
            <w:tcW w:type="dxa" w:w="13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No — 2 runners</w:t>
            </w:r>
          </w:p>
        </w:tc>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Partial</w:t>
            </w:r>
          </w:p>
        </w:tc>
      </w:tr>
      <w:tr>
        <w:tc>
          <w:tcPr>
            <w:tcW w:type="dxa" w:w="2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Selenium + REST Assured</w:t>
            </w:r>
          </w:p>
        </w:tc>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w:t>
            </w:r>
          </w:p>
        </w:tc>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 (Java)</w:t>
            </w:r>
          </w:p>
        </w:tc>
        <w:tc>
          <w:tcPr>
            <w:tcW w:type="dxa" w:w="1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Separate</w:t>
            </w:r>
          </w:p>
        </w:tc>
        <w:tc>
          <w:tcPr>
            <w:tcW w:type="dxa" w:w="1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Separate</w:t>
            </w:r>
          </w:p>
        </w:tc>
        <w:tc>
          <w:tcPr>
            <w:tcW w:type="dxa" w:w="1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No — 2 langs</w:t>
            </w:r>
          </w:p>
        </w:tc>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No — Java</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Decision</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Playwright (TypeScript, v1.44+) as the single test automation framework for all test types.</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Rationale</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Playwright's APIRequestContext enables API tests written in the same TypeScript pattern as UI tests, sharing fixtures, helpers, and the same CI step. The @axe-core/playwright integration runs WCAG 2.1 AA checks against rendered pages without a separate accessibility CLI tool. Built-in screenshot comparison handles visual regression. A single npm test command runs the full test suite (UI + API + A11y + Visual) and produces one HTML report. Cypress+Postman scored 15/25 in DOC-007 — the context-switch overhead between two tools and the lack of native TypeScript API testing were the primary deductions.</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Test Architecture</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Page Object Model (GL-P-026) with BasePage abstract class enforcing isLoaded() contract. Extended Playwright fixtures inject pre-instantiated page objects and API clients. Tags: @smoke (P1, run on every PR, target &lt; 3 min) and @regression (full suite, run on merge to main). Test data in fixtures/testData.ts (centralized, no hardcoded strings in spec files).</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Consequences</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Positive: One configuration, one CI step, one report, TypeScript everywhere. Negative: Playwright has a steeper initial setup curve than Cypress. Mitigation: Claude Code scaffolds the initial framework structure; baseline configuration is reused from the existing qa-automation-framework portfolio project.</w:t>
            </w:r>
          </w:p>
        </w:tc>
      </w:tr>
    </w:tbl>
    <w:p>
      <w:r>
        <w:rPr>
          <w:sz w:val="10"/>
          <w:szCs w:val="10"/>
        </w:rPr>
        <w:t xml:space="preserve"/>
      </w:r>
    </w:p>
    <w:p>
      <w:r>
        <w:br w:type="page"/>
      </w:r>
    </w:p>
    <w:p>
      <w:pPr>
        <w:pStyle w:val="Heading2"/>
      </w:pPr>
      <w:r>
        <w:rPr>
          <w:rFonts w:ascii="Arial" w:cs="Arial" w:eastAsia="Arial" w:hAnsi="Arial"/>
        </w:rPr>
        <w:t xml:space="preserve">ADR-005 — Test Reporting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760"/>
        <w:gridCol w:w="1800"/>
      </w:tblGrid>
      <w:tr>
        <w:tc>
          <w:tcPr>
            <w:tcW w:type="dxa" w:w="9360"/>
            <w:gridSpan w:val="3"/>
            <w:tcBorders>
              <w:top w:val="single" w:color="CCCCCC" w:sz="1"/>
              <w:left w:val="single" w:color="CCCCCC" w:sz="1"/>
              <w:bottom w:val="single" w:color="CCCCCC" w:sz="1"/>
              <w:right w:val="single" w:color="CCCCCC" w:sz="1"/>
            </w:tcBorders>
            <w:shd w:fill="1F3864" w:val="clear"/>
            <w:tcMar>
              <w:top w:type="dxa" w:w="120"/>
              <w:left w:type="dxa" w:w="140"/>
              <w:bottom w:type="dxa" w:w="120"/>
              <w:right w:type="dxa" w:w="140"/>
            </w:tcMar>
          </w:tcPr>
          <w:p>
            <w:r>
              <w:rPr>
                <w:rFonts w:ascii="Arial" w:cs="Arial" w:eastAsia="Arial" w:hAnsi="Arial"/>
                <w:b/>
                <w:bCs/>
                <w:color w:val="D6E4F0"/>
                <w:sz w:val="24"/>
                <w:szCs w:val="24"/>
              </w:rPr>
              <w:t xml:space="preserve">ADR-005  ·  </w:t>
            </w:r>
            <w:r>
              <w:rPr>
                <w:rFonts w:ascii="Arial" w:cs="Arial" w:eastAsia="Arial" w:hAnsi="Arial"/>
                <w:b/>
                <w:bCs/>
                <w:color w:val="FFFFFF"/>
                <w:sz w:val="24"/>
                <w:szCs w:val="24"/>
              </w:rPr>
              <w:t xml:space="preserve">Test Reporting: Playwright HTML (MVP) + Allure (Should)</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Status</w:t>
            </w:r>
          </w:p>
        </w:tc>
        <w:tc>
          <w:tcPr>
            <w:tcW w:type="dxa" w:w="5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20"/>
                <w:szCs w:val="20"/>
              </w:rPr>
              <w:t xml:space="preserve">Date: 2026-04-16   |   Decider: Evgenii Subbotin   |   Refs: DOC-007 §Reporting</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color w:val="375623"/>
                <w:sz w:val="20"/>
                <w:szCs w:val="20"/>
              </w:rPr>
              <w:t xml:space="preserve">Accepted</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Context</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Test results must be shareable with the assessment evaluator. Options range from the built-in Playwright HTML reporter to richer third-party tools. The decision must balance reporting richness against setup complexity within the 5-day timebox.</w:t>
            </w:r>
          </w:p>
        </w:tc>
      </w:tr>
    </w:tbl>
    <w:p>
      <w:r>
        <w:rPr>
          <w:sz w:val="10"/>
          <w:szCs w:val="10"/>
        </w:rPr>
        <w:t xml:space="preserve"/>
      </w:r>
    </w:p>
    <w:p>
      <w:pPr>
        <w:spacing w:after="140" w:before="60"/>
      </w:pPr>
      <w:r>
        <w:rPr>
          <w:rFonts w:ascii="Arial" w:cs="Arial" w:eastAsia="Arial" w:hAnsi="Arial"/>
          <w:b/>
          <w:bCs/>
          <w:color w:val="1A1A1A"/>
          <w:sz w:val="20"/>
          <w:szCs w:val="20"/>
        </w:rPr>
        <w:t xml:space="preserve">Options Considered: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500"/>
        <w:gridCol w:w="1500"/>
        <w:gridCol w:w="1800"/>
        <w:gridCol w:w="1000"/>
        <w:gridCol w:w="1160"/>
      </w:tblGrid>
      <w:tr>
        <w:trPr>
          <w:tblHeader/>
        </w:trPr>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Option</w:t>
            </w:r>
          </w:p>
        </w:tc>
        <w:tc>
          <w:tcPr>
            <w:tcW w:type="dxa" w:w="15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Setup Time</w:t>
            </w:r>
          </w:p>
        </w:tc>
        <w:tc>
          <w:tcPr>
            <w:tcW w:type="dxa" w:w="15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Visual Quality</w:t>
            </w:r>
          </w:p>
        </w:tc>
        <w:tc>
          <w:tcPr>
            <w:tcW w:type="dxa" w:w="1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CI Integration</w:t>
            </w:r>
          </w:p>
        </w:tc>
        <w:tc>
          <w:tcPr>
            <w:tcW w:type="dxa" w:w="1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Free</w:t>
            </w:r>
          </w:p>
        </w:tc>
        <w:tc>
          <w:tcPr>
            <w:tcW w:type="dxa" w:w="11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MoSCoW</w:t>
            </w:r>
          </w:p>
        </w:tc>
      </w:tr>
      <w:tr>
        <w:tc>
          <w:tcPr>
            <w:tcW w:type="dxa" w:w="24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  Playwright HTML Reporter (MVP)</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&lt; 5 min</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Good</w:t>
            </w:r>
          </w:p>
        </w:tc>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Built-in artefact upload</w:t>
            </w:r>
          </w:p>
        </w:tc>
        <w:tc>
          <w:tcPr>
            <w:tcW w:type="dxa" w:w="1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w:t>
            </w:r>
          </w:p>
        </w:tc>
        <w:tc>
          <w:tcPr>
            <w:tcW w:type="dxa" w:w="11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Must</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Allure + GitHub Pages (post-MVP)</w:t>
            </w:r>
          </w:p>
        </w:tc>
        <w:tc>
          <w:tcPr>
            <w:tcW w:type="dxa" w:w="1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~30 min</w:t>
            </w:r>
          </w:p>
        </w:tc>
        <w:tc>
          <w:tcPr>
            <w:tcW w:type="dxa" w:w="1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Excellent</w:t>
            </w:r>
          </w:p>
        </w:tc>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GitHub Actions step</w:t>
            </w:r>
          </w:p>
        </w:tc>
        <w:tc>
          <w:tcPr>
            <w:tcW w:type="dxa" w:w="1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w:t>
            </w:r>
          </w:p>
        </w:tc>
        <w:tc>
          <w:tcPr>
            <w:tcW w:type="dxa" w:w="11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Should</w:t>
            </w:r>
          </w:p>
        </w:tc>
      </w:tr>
      <w:tr>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ReportPortal (SaaS)</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2+ hours</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Excellent</w:t>
            </w:r>
          </w:p>
        </w:tc>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Webhook config</w:t>
            </w:r>
          </w:p>
        </w:tc>
        <w:tc>
          <w:tcPr>
            <w:tcW w:type="dxa" w:w="1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Paid</w:t>
            </w:r>
          </w:p>
        </w:tc>
        <w:tc>
          <w:tcPr>
            <w:tcW w:type="dxa" w:w="11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Won't</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Decision</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MVP: Playwright built-in HTML reporter, uploaded as GitHub Actions artefact on every CI run. Post-MVP (Should): Allure Report published to GitHub Pages — adds trend history, severity breakdown, and step-level screenshots.</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Rationale</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The Playwright HTML reporter requires zero configuration beyond a one-line config entry. It captures screenshots on failure, test duration, and step-level output. For the assessment submission, the evaluator can download the report artefact from the GitHub Actions run. Allure provides significantly richer output (pie charts, trend charts, severity classification) but requires additional GitHub Actions configuration and a GitHub Pages deployment step. Deferring Allure to post-MVP is justified by the 5-day constraint — the setup time is better spent on functional and test coverage than on reporting aesthetics.</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Consequences</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MVP: Report accessible from GitHub Actions UI (download artefact). Should: Once Allure is configured, it becomes the fourth public link in the portfolio submission: live demo / GitHub / project library / Allure report.</w:t>
            </w:r>
          </w:p>
        </w:tc>
      </w:tr>
    </w:tbl>
    <w:p>
      <w:r>
        <w:rPr>
          <w:sz w:val="10"/>
          <w:szCs w:val="10"/>
        </w:rPr>
        <w:t xml:space="preserve"/>
      </w:r>
    </w:p>
    <w:p>
      <w:r>
        <w:br w:type="page"/>
      </w:r>
    </w:p>
    <w:p>
      <w:pPr>
        <w:pStyle w:val="Heading2"/>
      </w:pPr>
      <w:r>
        <w:rPr>
          <w:rFonts w:ascii="Arial" w:cs="Arial" w:eastAsia="Arial" w:hAnsi="Arial"/>
        </w:rPr>
        <w:t xml:space="preserve">ADR-006 — AI Engineering Engine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760"/>
        <w:gridCol w:w="1800"/>
      </w:tblGrid>
      <w:tr>
        <w:tc>
          <w:tcPr>
            <w:tcW w:type="dxa" w:w="9360"/>
            <w:gridSpan w:val="3"/>
            <w:tcBorders>
              <w:top w:val="single" w:color="CCCCCC" w:sz="1"/>
              <w:left w:val="single" w:color="CCCCCC" w:sz="1"/>
              <w:bottom w:val="single" w:color="CCCCCC" w:sz="1"/>
              <w:right w:val="single" w:color="CCCCCC" w:sz="1"/>
            </w:tcBorders>
            <w:shd w:fill="1F3864" w:val="clear"/>
            <w:tcMar>
              <w:top w:type="dxa" w:w="120"/>
              <w:left w:type="dxa" w:w="140"/>
              <w:bottom w:type="dxa" w:w="120"/>
              <w:right w:type="dxa" w:w="140"/>
            </w:tcMar>
          </w:tcPr>
          <w:p>
            <w:r>
              <w:rPr>
                <w:rFonts w:ascii="Arial" w:cs="Arial" w:eastAsia="Arial" w:hAnsi="Arial"/>
                <w:b/>
                <w:bCs/>
                <w:color w:val="D6E4F0"/>
                <w:sz w:val="24"/>
                <w:szCs w:val="24"/>
              </w:rPr>
              <w:t xml:space="preserve">ADR-006  ·  </w:t>
            </w:r>
            <w:r>
              <w:rPr>
                <w:rFonts w:ascii="Arial" w:cs="Arial" w:eastAsia="Arial" w:hAnsi="Arial"/>
                <w:b/>
                <w:bCs/>
                <w:color w:val="FFFFFF"/>
                <w:sz w:val="24"/>
                <w:szCs w:val="24"/>
              </w:rPr>
              <w:t xml:space="preserve">Claude Code as AI Engineering Accelerator</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Status</w:t>
            </w:r>
          </w:p>
        </w:tc>
        <w:tc>
          <w:tcPr>
            <w:tcW w:type="dxa" w:w="5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20"/>
                <w:szCs w:val="20"/>
              </w:rPr>
              <w:t xml:space="preserve">Date: 2026-04-16   |   Decider: Evgenii Subbotin   |   Refs: DOC-007 §AI Engine · DOC-001 GL-T-001</w:t>
            </w:r>
          </w:p>
        </w:tc>
        <w:tc>
          <w:tcPr>
            <w:tcW w:type="dxa" w:w="180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color w:val="375623"/>
                <w:sz w:val="20"/>
                <w:szCs w:val="20"/>
              </w:rPr>
              <w:t xml:space="preserve">Accepted</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Context</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The project is a solo 5-day delivery. The REM Waste job description explicitly states 'Real AI Experience is an Advantage' and references AI tools used in live QA environments. A decision is required on which AI engineering tool to use and how to document its use professionally.</w:t>
            </w:r>
          </w:p>
        </w:tc>
      </w:tr>
    </w:tbl>
    <w:p>
      <w:r>
        <w:rPr>
          <w:sz w:val="10"/>
          <w:szCs w:val="10"/>
        </w:rPr>
        <w:t xml:space="preserve"/>
      </w:r>
    </w:p>
    <w:p>
      <w:pPr>
        <w:spacing w:after="140" w:before="60"/>
      </w:pPr>
      <w:r>
        <w:rPr>
          <w:rFonts w:ascii="Arial" w:cs="Arial" w:eastAsia="Arial" w:hAnsi="Arial"/>
          <w:b/>
          <w:bCs/>
          <w:color w:val="1A1A1A"/>
          <w:sz w:val="20"/>
          <w:szCs w:val="20"/>
        </w:rPr>
        <w:t xml:space="preserve">Options Considered: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500"/>
        <w:gridCol w:w="1500"/>
        <w:gridCol w:w="1500"/>
        <w:gridCol w:w="1000"/>
        <w:gridCol w:w="1060"/>
      </w:tblGrid>
      <w:tr>
        <w:trPr>
          <w:tblHeader/>
        </w:trPr>
        <w:tc>
          <w:tcPr>
            <w:tcW w:type="dxa" w:w="2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Option</w:t>
            </w:r>
          </w:p>
        </w:tc>
        <w:tc>
          <w:tcPr>
            <w:tcW w:type="dxa" w:w="15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Code Gen Quality</w:t>
            </w:r>
          </w:p>
        </w:tc>
        <w:tc>
          <w:tcPr>
            <w:tcW w:type="dxa" w:w="15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Agentic Operation</w:t>
            </w:r>
          </w:p>
        </w:tc>
        <w:tc>
          <w:tcPr>
            <w:tcW w:type="dxa" w:w="15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Context Window</w:t>
            </w:r>
          </w:p>
        </w:tc>
        <w:tc>
          <w:tcPr>
            <w:tcW w:type="dxa" w:w="1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Cost</w:t>
            </w:r>
          </w:p>
        </w:tc>
        <w:tc>
          <w:tcPr>
            <w:tcW w:type="dxa" w:w="10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Score/20</w:t>
            </w:r>
          </w:p>
        </w:tc>
      </w:tr>
      <w:tr>
        <w:tc>
          <w:tcPr>
            <w:tcW w:type="dxa" w:w="22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  Claude Code (Anthropic)</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Excellent</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Yes — autonomous</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200K tokens</w:t>
            </w:r>
          </w:p>
        </w:tc>
        <w:tc>
          <w:tcPr>
            <w:tcW w:type="dxa" w:w="1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Subscription</w:t>
            </w:r>
          </w:p>
        </w:tc>
        <w:tc>
          <w:tcPr>
            <w:tcW w:type="dxa" w:w="10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19/20</w:t>
            </w:r>
          </w:p>
        </w:tc>
      </w:tr>
      <w:tr>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GitHub Copilot</w:t>
            </w:r>
          </w:p>
        </w:tc>
        <w:tc>
          <w:tcPr>
            <w:tcW w:type="dxa" w:w="1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Good</w:t>
            </w:r>
          </w:p>
        </w:tc>
        <w:tc>
          <w:tcPr>
            <w:tcW w:type="dxa" w:w="1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No — inline only</w:t>
            </w:r>
          </w:p>
        </w:tc>
        <w:tc>
          <w:tcPr>
            <w:tcW w:type="dxa" w:w="15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Limited</w:t>
            </w:r>
          </w:p>
        </w:tc>
        <w:tc>
          <w:tcPr>
            <w:tcW w:type="dxa" w:w="1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Subscription</w:t>
            </w:r>
          </w:p>
        </w:tc>
        <w:tc>
          <w:tcPr>
            <w:tcW w:type="dxa" w:w="10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12/20</w:t>
            </w:r>
          </w:p>
        </w:tc>
      </w:tr>
      <w:tr>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ChatGPT / GPT-4o</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Very Good</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Partial (via API)</w:t>
            </w:r>
          </w:p>
        </w:tc>
        <w:tc>
          <w:tcPr>
            <w:tcW w:type="dxa" w:w="15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128K tokens</w:t>
            </w:r>
          </w:p>
        </w:tc>
        <w:tc>
          <w:tcPr>
            <w:tcW w:type="dxa" w:w="1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Subscription</w:t>
            </w:r>
          </w:p>
        </w:tc>
        <w:tc>
          <w:tcPr>
            <w:tcW w:type="dxa" w:w="10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14/20</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Decision</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Claude Code as primary AI engineering accelerator. Used for: scaffolding, component generation, test generation, and documentation authoring. All output verified by engineer before acceptance.</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Rationale</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Claude Code's agentic operation mode allows it to read project files, generate code, run tests, and iterate on failures within a single session — a capability that GitHub Copilot (inline suggestions only) does not provide. The 200K token context window enables whole-project reasoning: referencing the API contract, existing components, and test fixtures simultaneously when generating new tests. The AI Engineering Log (DOC-008) documents all AI-assisted decisions, what was generated, what was modified manually, and the outcome. This approach treats AI as an engineering accelerator, not a code generator — the engineer remains the architect and decision-maker.</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Governance</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AI output policy: (1) No AI-generated code committed without engineer review. (2) All generated tests executed locally before commit. (3) DOC-008 (AI Engineering Log) updated for each significant AI-assisted task. (4) If Claude Code produces incorrect output for a given task, the failure is logged in DOC-008 as a learning — not silently discarded.</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F3864"/>
                <w:sz w:val="20"/>
                <w:szCs w:val="20"/>
              </w:rPr>
              <w:t xml:space="preserve">Consequences</w:t>
            </w:r>
          </w:p>
        </w:tc>
        <w:tc>
          <w:tcPr>
            <w:tcW w:type="dxa" w:w="73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Positive: Significantly accelerated delivery — estimated 40-60% reduction in boilerplate authoring time; enables solo delivery of a scope that would normally require 2-3 engineers. Negative: AI-generated code may contain subtle logic errors not caught by linting. Mitigation: TypeScript strict mode + comprehensive Playwright test suite as the verification layer.</w:t>
            </w:r>
          </w:p>
        </w:tc>
      </w:tr>
    </w:tbl>
    <w:p>
      <w:r>
        <w:rPr>
          <w:sz w:val="10"/>
          <w:szCs w:val="10"/>
        </w:rPr>
        <w:t xml:space="preserve"/>
      </w:r>
    </w:p>
    <w:p>
      <w:pPr>
        <w:pStyle w:val="Heading2"/>
      </w:pPr>
      <w:r>
        <w:rPr>
          <w:rFonts w:ascii="Arial" w:cs="Arial" w:eastAsia="Arial" w:hAnsi="Arial"/>
        </w:rPr>
        <w:t xml:space="preserve">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2400"/>
        <w:gridCol w:w="3760"/>
      </w:tblGrid>
      <w:tr>
        <w:trPr>
          <w:tblHeader/>
        </w:trPr>
        <w:tc>
          <w:tcPr>
            <w:tcW w:type="dxa" w:w="1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Version</w:t>
            </w:r>
          </w:p>
        </w:tc>
        <w:tc>
          <w:tcPr>
            <w:tcW w:type="dxa" w:w="2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Date</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Author</w:t>
            </w:r>
          </w:p>
        </w:tc>
        <w:tc>
          <w:tcPr>
            <w:tcW w:type="dxa" w:w="37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Changes</w:t>
            </w:r>
          </w:p>
        </w:tc>
      </w:tr>
      <w:tr>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1.0</w:t>
            </w:r>
          </w:p>
        </w:tc>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2026-04-16</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Evgenii Subbotin</w:t>
            </w:r>
          </w:p>
        </w:tc>
        <w:tc>
          <w:tcPr>
            <w:tcW w:type="dxa" w:w="3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Initial — ADR-001 through ADR-006 accepted</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6" w:space="1"/>
      </w:pBdr>
      <w:tabs>
        <w:tab w:val="right" w:pos="9026"/>
      </w:tabs>
      <w:spacing w:before="120"/>
    </w:pPr>
    <w:r>
      <w:rPr>
        <w:rFonts w:ascii="Arial" w:cs="Arial" w:eastAsia="Arial" w:hAnsi="Arial"/>
        <w:color w:val="444444"/>
        <w:sz w:val="16"/>
        <w:szCs w:val="16"/>
      </w:rPr>
      <w:t xml:space="preserve">Evgenii Subbotin · Confidential</w:t>
    </w:r>
    <w:r>
      <w:rPr>
        <w:sz w:val="16"/>
        <w:szCs w:val="16"/>
      </w:rPr>
      <w:t xml:space="preserve">	</w:t>
    </w:r>
    <w:r>
      <w:rPr>
        <w:rFonts w:ascii="Arial" w:cs="Arial" w:eastAsia="Arial" w:hAnsi="Arial"/>
        <w:color w:val="444444"/>
        <w:sz w:val="16"/>
        <w:szCs w:val="16"/>
      </w:rPr>
      <w:t xml:space="preserve">Page </w:t>
    </w:r>
    <w:fldSimple w:instr="PAGE">
      <w:r>
        <w:rPr>
          <w:rFonts w:ascii="Arial" w:cs="Arial" w:eastAsia="Arial" w:hAnsi="Arial"/>
          <w:color w:val="444444"/>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tabs>
        <w:tab w:val="right" w:pos="9026"/>
      </w:tabs>
      <w:spacing w:after="120"/>
    </w:pPr>
    <w:r>
      <w:rPr>
        <w:rFonts w:ascii="Arial" w:cs="Arial" w:eastAsia="Arial" w:hAnsi="Arial"/>
        <w:b/>
        <w:bCs/>
        <w:color w:val="1F3864"/>
        <w:sz w:val="18"/>
        <w:szCs w:val="18"/>
      </w:rPr>
      <w:t xml:space="preserve">DOC-004 · ADR Collection</w:t>
    </w:r>
    <w:r>
      <w:rPr>
        <w:sz w:val="18"/>
        <w:szCs w:val="18"/>
      </w:rPr>
      <w:t xml:space="preserve">	</w:t>
    </w:r>
    <w:r>
      <w:rPr>
        <w:rFonts w:ascii="Arial" w:cs="Arial" w:eastAsia="Arial" w:hAnsi="Arial"/>
        <w:color w:val="444444"/>
        <w:sz w:val="18"/>
        <w:szCs w:val="18"/>
      </w:rPr>
      <w:t xml:space="preserve">REM Waste — Booking Flow Platform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2E75B6"/>
      <w:sz w:val="26"/>
      <w:szCs w:val="26"/>
    </w:rPr>
  </w:style>
  <w:style w:type="paragraph" w:styleId="Heading3">
    <w:name w:val="Heading 3"/>
    <w:basedOn w:val="Normal"/>
    <w:next w:val="Normal"/>
    <w:qFormat/>
    <w:pPr>
      <w:spacing w:after="80" w:before="200"/>
      <w:outlineLvl w:val="2"/>
    </w:pPr>
    <w:rPr>
      <w:rFonts w:ascii="Arial" w:cs="Arial" w:eastAsia="Arial" w:hAnsi="Arial"/>
      <w:b/>
      <w:bCs/>
      <w:color w:val="1F38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2026-04-16T08:25:18.781Z</dcterms:created>
  <dcterms:modified xsi:type="dcterms:W3CDTF">2026-04-16T08:25:18.781Z</dcterms:modified>
</cp:coreProperties>
</file>

<file path=docProps/custom.xml><?xml version="1.0" encoding="utf-8"?>
<Properties xmlns="http://schemas.openxmlformats.org/officeDocument/2006/custom-properties" xmlns:vt="http://schemas.openxmlformats.org/officeDocument/2006/docPropsVTypes"/>
</file>