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olor w:val="2E75B6"/>
          <w:sz w:val="24"/>
          <w:szCs w:val="24"/>
        </w:rPr>
        <w:t xml:space="preserve">DOC-005</w:t>
      </w:r>
    </w:p>
    <w:p>
      <w:pPr>
        <w:pStyle w:val="Heading1"/>
      </w:pPr>
      <w:r>
        <w:rPr>
          <w:rFonts w:ascii="Arial" w:cs="Arial" w:eastAsia="Arial" w:hAnsi="Arial"/>
        </w:rPr>
        <w:t xml:space="preserve">Test Strategy</w:t>
      </w:r>
    </w:p>
    <w:p>
      <w:pPr>
        <w:spacing w:after="320"/>
      </w:pPr>
      <w:r>
        <w:rPr>
          <w:rFonts w:ascii="Arial" w:cs="Arial" w:eastAsia="Arial" w:hAnsi="Arial"/>
          <w:i/>
          <w:iCs/>
          <w:color w:val="444444"/>
          <w:sz w:val="22"/>
          <w:szCs w:val="22"/>
        </w:rPr>
        <w:t xml:space="preserve">REM Waste — Booking Flow Platform  ·  Version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Document ID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DOC-005</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Title</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Test Strategy</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Project</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REM Waste — Booking Flow Platform</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Version</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1.0</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Status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Approved</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Author</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Evgenii Subbotin</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Date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2026-04-16</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color w:val="1F3864"/>
                <w:sz w:val="20"/>
                <w:szCs w:val="20"/>
              </w:rPr>
              <w:t xml:space="preserve">References</w:t>
            </w:r>
          </w:p>
        </w:tc>
        <w:tc>
          <w:tcPr>
            <w:tcW w:type="dxa" w:w="656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color w:val="1A1A1A"/>
                <w:sz w:val="20"/>
                <w:szCs w:val="20"/>
              </w:rPr>
              <w:t xml:space="preserve">DOC-001 · DOC-002 · DOC-004 (ADR-004) · DOC-007</w:t>
            </w:r>
          </w:p>
        </w:tc>
      </w:tr>
    </w:tbl>
    <w:p>
      <w:r>
        <w:rPr>
          <w:sz w:val="10"/>
          <w:szCs w:val="10"/>
        </w:rPr>
        <w:t xml:space="preserve"/>
      </w:r>
    </w:p>
    <w:p>
      <w:pPr>
        <w:pStyle w:val="Heading2"/>
      </w:pPr>
      <w:r>
        <w:rPr>
          <w:rFonts w:ascii="Arial" w:cs="Arial" w:eastAsia="Arial" w:hAnsi="Arial"/>
        </w:rPr>
        <w:t xml:space="preserve">1. Purpose &amp; Scope</w:t>
      </w:r>
    </w:p>
    <w:p>
      <w:pPr>
        <w:spacing w:after="140" w:before="60"/>
      </w:pPr>
      <w:r>
        <w:rPr>
          <w:rFonts w:ascii="Arial" w:cs="Arial" w:eastAsia="Arial" w:hAnsi="Arial"/>
          <w:color w:val="1A1A1A"/>
          <w:sz w:val="20"/>
          <w:szCs w:val="20"/>
        </w:rPr>
        <w:t xml:space="preserve">This Test Strategy defines the quality approach for the REM Waste Booking Flow Platform. It documents what is tested, why each test type is included, which tools are used, how testing integrates with CI/CD, and what constitutes acceptable quality at release. This document is authored before development begins (shift-left, GL-P-012) and is the governing quality document for all testing activity.</w:t>
      </w:r>
    </w:p>
    <w:p>
      <w:pPr>
        <w:spacing w:after="140" w:before="60"/>
      </w:pPr>
      <w:r>
        <w:rPr>
          <w:rFonts w:ascii="Arial" w:cs="Arial" w:eastAsia="Arial" w:hAnsi="Arial"/>
          <w:color w:val="1A1A1A"/>
          <w:sz w:val="20"/>
          <w:szCs w:val="20"/>
        </w:rPr>
        <w:t xml:space="preserve">Scope: All functional requirements in the QA Assessment PDF (the Must Have backlog items in DOC-003), plus non-functional requirements (NFR) specified in this document. Out of scope: payment processing, admin dashboard, load testing, IE/legacy browser support.</w:t>
      </w:r>
    </w:p>
    <w:p>
      <w:r>
        <w:rPr>
          <w:sz w:val="10"/>
          <w:szCs w:val="10"/>
        </w:rPr>
        <w:t xml:space="preserve"/>
      </w:r>
    </w:p>
    <w:p>
      <w:pPr>
        <w:pStyle w:val="Heading2"/>
      </w:pPr>
      <w:r>
        <w:rPr>
          <w:rFonts w:ascii="Arial" w:cs="Arial" w:eastAsia="Arial" w:hAnsi="Arial"/>
        </w:rPr>
        <w:t xml:space="preserve">2. Testing Pyramid &amp; Coverage Targets</w:t>
      </w:r>
    </w:p>
    <w:p>
      <w:pPr>
        <w:spacing w:after="140" w:before="60"/>
      </w:pPr>
      <w:r>
        <w:rPr>
          <w:rFonts w:ascii="Arial" w:cs="Arial" w:eastAsia="Arial" w:hAnsi="Arial"/>
          <w:color w:val="1A1A1A"/>
          <w:sz w:val="20"/>
          <w:szCs w:val="20"/>
        </w:rPr>
        <w:t xml:space="preserve">The testing pyramid defines the distribution of test types. More tests at the lower levels (faster, cheaper) support fewer tests at the higher levels (slower, more expensive). All levels are automated except Exploratory.</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000"/>
        <w:gridCol w:w="1600"/>
        <w:gridCol w:w="1360"/>
      </w:tblGrid>
      <w:tr>
        <w:trPr>
          <w:tblHeader/>
        </w:trPr>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Layer</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Sub-type</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Share of Coverage</w:t>
            </w:r>
          </w:p>
        </w:tc>
        <w:tc>
          <w:tcPr>
            <w:tcW w:type="dxa" w:w="1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Test Count Target</w:t>
            </w:r>
          </w:p>
        </w:tc>
        <w:tc>
          <w:tcPr>
            <w:tcW w:type="dxa" w:w="13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Automation %</w:t>
            </w:r>
          </w:p>
        </w:tc>
      </w:tr>
      <w:tr>
        <w:tc>
          <w:tcPr>
            <w:tcW w:type="dxa" w:w="24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top"/>
          </w:tcPr>
          <w:p>
            <w:pPr>
              <w:jc w:val="left"/>
            </w:pPr>
            <w:r>
              <w:rPr>
                <w:rFonts w:ascii="Arial" w:cs="Arial" w:eastAsia="Arial" w:hAnsi="Arial"/>
                <w:b/>
                <w:bCs/>
                <w:color w:val="843C0C"/>
                <w:sz w:val="20"/>
                <w:szCs w:val="20"/>
              </w:rPr>
              <w:t xml:space="preserve">E2E / UI</w:t>
            </w:r>
          </w:p>
        </w:tc>
        <w:tc>
          <w:tcPr>
            <w:tcW w:type="dxa" w:w="20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(Playwright Browser)</w:t>
            </w:r>
          </w:p>
        </w:tc>
        <w:tc>
          <w:tcPr>
            <w:tcW w:type="dxa" w:w="20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~25%</w:t>
            </w:r>
          </w:p>
        </w:tc>
        <w:tc>
          <w:tcPr>
            <w:tcW w:type="dxa" w:w="160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2 complete flows + state variants</w:t>
            </w:r>
          </w:p>
        </w:tc>
        <w:tc>
          <w:tcPr>
            <w:tcW w:type="dxa" w:w="1360"/>
            <w:gridSpan w:val="1"/>
            <w:tcBorders>
              <w:top w:val="single" w:color="CCCCCC" w:sz="1"/>
              <w:left w:val="single" w:color="CCCCCC" w:sz="1"/>
              <w:bottom w:val="single" w:color="CCCCCC" w:sz="1"/>
              <w:right w:val="single" w:color="CCCCCC" w:sz="1"/>
            </w:tcBorders>
            <w:shd w:fill="FCE4D6"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100%</w:t>
            </w:r>
          </w:p>
        </w:tc>
      </w:tr>
      <w:tr>
        <w:tc>
          <w:tcPr>
            <w:tcW w:type="dxa" w:w="24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left"/>
            </w:pPr>
            <w:r>
              <w:rPr>
                <w:rFonts w:ascii="Arial" w:cs="Arial" w:eastAsia="Arial" w:hAnsi="Arial"/>
                <w:b/>
                <w:bCs/>
                <w:color w:val="7F6000"/>
                <w:sz w:val="20"/>
                <w:szCs w:val="20"/>
              </w:rPr>
              <w:t xml:space="preserve">API</w:t>
            </w:r>
          </w:p>
        </w:tc>
        <w:tc>
          <w:tcPr>
            <w:tcW w:type="dxa" w:w="20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(Playwright APIRequestContext)</w:t>
            </w:r>
          </w:p>
        </w:tc>
        <w:tc>
          <w:tcPr>
            <w:tcW w:type="dxa" w:w="20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~30%</w:t>
            </w:r>
          </w:p>
        </w:tc>
        <w:tc>
          <w:tcPr>
            <w:tcW w:type="dxa" w:w="160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4 endpoints × happy + negative + error</w:t>
            </w:r>
          </w:p>
        </w:tc>
        <w:tc>
          <w:tcPr>
            <w:tcW w:type="dxa" w:w="1360"/>
            <w:gridSpan w:val="1"/>
            <w:tcBorders>
              <w:top w:val="single" w:color="CCCCCC" w:sz="1"/>
              <w:left w:val="single" w:color="CCCCCC" w:sz="1"/>
              <w:bottom w:val="single" w:color="CCCCCC" w:sz="1"/>
              <w:right w:val="single" w:color="CCCCCC" w:sz="1"/>
            </w:tcBorders>
            <w:shd w:fill="FFF2CC"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100%</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20"/>
                <w:szCs w:val="20"/>
              </w:rPr>
              <w:t xml:space="preserve">Component / Integration</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(Playwright + Next.js)</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~20%</w:t>
            </w:r>
          </w:p>
        </w:tc>
        <w:tc>
          <w:tcPr>
            <w:tcW w:type="dxa" w:w="1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Key form validation logic, branching</w:t>
            </w:r>
          </w:p>
        </w:tc>
        <w:tc>
          <w:tcPr>
            <w:tcW w:type="dxa" w:w="13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2E75B6"/>
                <w:sz w:val="20"/>
                <w:szCs w:val="20"/>
              </w:rPr>
              <w:t xml:space="preserve">80%</w:t>
            </w:r>
          </w:p>
        </w:tc>
      </w:tr>
      <w:tr>
        <w:tc>
          <w:tcPr>
            <w:tcW w:type="dxa" w:w="24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Manual / Exploratory</w:t>
            </w:r>
          </w:p>
        </w:tc>
        <w:tc>
          <w:tcPr>
            <w:tcW w:type="dxa" w:w="20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(Human-driven)</w:t>
            </w:r>
          </w:p>
        </w:tc>
        <w:tc>
          <w:tcPr>
            <w:tcW w:type="dxa" w:w="20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~25%</w:t>
            </w:r>
          </w:p>
        </w:tc>
        <w:tc>
          <w:tcPr>
            <w:tcW w:type="dxa" w:w="160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35+ manual TCs; 1 exploratory session</w:t>
            </w:r>
          </w:p>
        </w:tc>
        <w:tc>
          <w:tcPr>
            <w:tcW w:type="dxa" w:w="1360"/>
            <w:gridSpan w:val="1"/>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vAlign w:val="top"/>
          </w:tcPr>
          <w:p>
            <w:pPr>
              <w:jc w:val="center"/>
            </w:pPr>
            <w:r>
              <w:rPr>
                <w:rFonts w:ascii="Arial" w:cs="Arial" w:eastAsia="Arial" w:hAnsi="Arial"/>
                <w:b/>
                <w:bCs/>
                <w:color w:val="375623"/>
                <w:sz w:val="20"/>
                <w:szCs w:val="20"/>
              </w:rPr>
              <w:t xml:space="preserve">0%</w:t>
            </w:r>
          </w:p>
        </w:tc>
      </w:tr>
    </w:tbl>
    <w:p>
      <w:r>
        <w:rPr>
          <w:sz w:val="10"/>
          <w:szCs w:val="10"/>
        </w:rPr>
        <w:t xml:space="preserve"/>
      </w:r>
    </w:p>
    <w:p>
      <w:pPr>
        <w:spacing w:after="140" w:before="60"/>
      </w:pPr>
      <w:r>
        <w:rPr>
          <w:rFonts w:ascii="Arial" w:cs="Arial" w:eastAsia="Arial" w:hAnsi="Arial"/>
          <w:color w:val="1A1A1A"/>
          <w:sz w:val="20"/>
          <w:szCs w:val="20"/>
        </w:rPr>
        <w:t xml:space="preserve">The pyramid is intentionally balanced rather than bottom-heavy because the application is primarily UI-driven with branching logic that requires E2E validation. API tests cover the contract and failure modes that are not visible through the UI.</w:t>
      </w:r>
    </w:p>
    <w:p>
      <w:r>
        <w:rPr>
          <w:sz w:val="10"/>
          <w:szCs w:val="10"/>
        </w:rPr>
        <w:t xml:space="preserve"/>
      </w:r>
    </w:p>
    <w:p>
      <w:pPr>
        <w:pStyle w:val="Heading2"/>
      </w:pPr>
      <w:r>
        <w:rPr>
          <w:rFonts w:ascii="Arial" w:cs="Arial" w:eastAsia="Arial" w:hAnsi="Arial"/>
        </w:rPr>
        <w:t xml:space="preserve">3. Risk-Based Test Prioritisation</w:t>
      </w:r>
    </w:p>
    <w:p>
      <w:pPr>
        <w:spacing w:after="140" w:before="60"/>
      </w:pPr>
      <w:r>
        <w:rPr>
          <w:rFonts w:ascii="Arial" w:cs="Arial" w:eastAsia="Arial" w:hAnsi="Arial"/>
          <w:color w:val="1A1A1A"/>
          <w:sz w:val="20"/>
          <w:szCs w:val="20"/>
        </w:rPr>
        <w:t xml:space="preserve">Test cases are prioritised by risk: business impact × probability of defect. P1 items are covered in the @smoke suite and run on every pull request. P2 items are covered in @regression and run on merge to main. P3 items run on merge to main but do not block deployment.</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800"/>
        <w:gridCol w:w="2400"/>
        <w:gridCol w:w="600"/>
        <w:gridCol w:w="2160"/>
      </w:tblGrid>
      <w:tr>
        <w:trPr>
          <w:tblHeader/>
        </w:trPr>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Ref</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Area</w:t>
            </w:r>
          </w:p>
        </w:tc>
        <w:tc>
          <w:tcPr>
            <w:tcW w:type="dxa" w:w="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Risk</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Rationale</w:t>
            </w:r>
          </w:p>
        </w:tc>
        <w:tc>
          <w:tcPr>
            <w:tcW w:type="dxa" w:w="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Priority</w:t>
            </w:r>
          </w:p>
        </w:tc>
        <w:tc>
          <w:tcPr>
            <w:tcW w:type="dxa" w:w="21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TC Refs</w:t>
            </w:r>
          </w:p>
        </w:tc>
      </w:tr>
      <w:tr>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US-001–003</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Postcode lookup &amp; validation</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High</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Business entry point — invalid postcode = no booking</w:t>
            </w:r>
          </w:p>
        </w:tc>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c>
          <w:tcPr>
            <w:tcW w:type="dxa" w:w="2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TC-001–010</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US-007–009</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Waste type + plasterboard branching</w:t>
            </w:r>
          </w:p>
        </w:tc>
        <w:tc>
          <w:tcPr>
            <w:tcW w:type="dxa" w:w="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High</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Branching logic error = wrong skip options served</w:t>
            </w:r>
          </w:p>
        </w:tc>
        <w:tc>
          <w:tcPr>
            <w:tcW w:type="dxa" w:w="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c>
          <w:tcPr>
            <w:tcW w:type="dxa" w:w="2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TC-020–030</w:t>
            </w:r>
          </w:p>
        </w:tc>
      </w:tr>
      <w:tr>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US-010–013</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Skip selection + disabled logic</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High</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Revenue-critical — wrong price or available skip = financial error</w:t>
            </w:r>
          </w:p>
        </w:tc>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c>
          <w:tcPr>
            <w:tcW w:type="dxa" w:w="2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TC-031–042</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US-014–016</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Review, price breakdown, confirm</w:t>
            </w:r>
          </w:p>
        </w:tc>
        <w:tc>
          <w:tcPr>
            <w:tcW w:type="dxa" w:w="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High</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Final transaction — double-submit or wrong total = data integrity</w:t>
            </w:r>
          </w:p>
        </w:tc>
        <w:tc>
          <w:tcPr>
            <w:tcW w:type="dxa" w:w="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c>
          <w:tcPr>
            <w:tcW w:type="dxa" w:w="2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TC-043–052</w:t>
            </w:r>
          </w:p>
        </w:tc>
      </w:tr>
      <w:tr>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API-001</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POST /api/booking/confirm payload validation</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High</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Accepting invalid bookings = data corruption</w:t>
            </w:r>
          </w:p>
        </w:tc>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c>
          <w:tcPr>
            <w:tcW w:type="dxa" w:w="2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TC-060–065</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API-002–004</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Error codes 400/422/500 + retry</w:t>
            </w:r>
          </w:p>
        </w:tc>
        <w:tc>
          <w:tcPr>
            <w:tcW w:type="dxa" w:w="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High</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Incorrect error handling hides failures from user</w:t>
            </w:r>
          </w:p>
        </w:tc>
        <w:tc>
          <w:tcPr>
            <w:tcW w:type="dxa" w:w="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c>
          <w:tcPr>
            <w:tcW w:type="dxa" w:w="2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TC-066–075</w:t>
            </w:r>
          </w:p>
        </w:tc>
      </w:tr>
      <w:tr>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US-004–006</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Empty state, loading, error UI</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Medium</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Poor UX but functionally recoverable</w:t>
            </w:r>
          </w:p>
        </w:tc>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c>
          <w:tcPr>
            <w:tcW w:type="dxa" w:w="2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TC-011–019</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NFR-001</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Accessibility (WCAG 2.1 AA)</w:t>
            </w:r>
          </w:p>
        </w:tc>
        <w:tc>
          <w:tcPr>
            <w:tcW w:type="dxa" w:w="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Medium</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Legal compliance risk; affects all users with disabilities</w:t>
            </w:r>
          </w:p>
        </w:tc>
        <w:tc>
          <w:tcPr>
            <w:tcW w:type="dxa" w:w="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c>
          <w:tcPr>
            <w:tcW w:type="dxa" w:w="2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TC-080–085</w:t>
            </w:r>
          </w:p>
        </w:tc>
      </w:tr>
      <w:tr>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NFR-002</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Mobile responsiveness (375px)</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Medium</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~60% of UK web traffic is mobile</w:t>
            </w:r>
          </w:p>
        </w:tc>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c>
          <w:tcPr>
            <w:tcW w:type="dxa" w:w="2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TC-086–090</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NFR-003</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Performance (LCP &lt; 3s)</w:t>
            </w:r>
          </w:p>
        </w:tc>
        <w:tc>
          <w:tcPr>
            <w:tcW w:type="dxa" w:w="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375623"/>
                <w:sz w:val="20"/>
                <w:szCs w:val="20"/>
              </w:rPr>
              <w:t xml:space="preserve">Low</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UX degradation but not functionally blocking</w:t>
            </w:r>
          </w:p>
        </w:tc>
        <w:tc>
          <w:tcPr>
            <w:tcW w:type="dxa" w:w="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375623"/>
                <w:sz w:val="20"/>
                <w:szCs w:val="20"/>
              </w:rPr>
              <w:t xml:space="preserve">P3</w:t>
            </w:r>
          </w:p>
        </w:tc>
        <w:tc>
          <w:tcPr>
            <w:tcW w:type="dxa" w:w="2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Lighthouse</w:t>
            </w:r>
          </w:p>
        </w:tc>
      </w:tr>
      <w:tr>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NFR-004</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Visual regression</w:t>
            </w:r>
          </w:p>
        </w:tc>
        <w:tc>
          <w:tcPr>
            <w:tcW w:type="dxa" w:w="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375623"/>
                <w:sz w:val="20"/>
                <w:szCs w:val="20"/>
              </w:rPr>
              <w:t xml:space="preserve">Low</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CSS regressions are cosmetic for this project scope</w:t>
            </w:r>
          </w:p>
        </w:tc>
        <w:tc>
          <w:tcPr>
            <w:tcW w:type="dxa" w:w="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375623"/>
                <w:sz w:val="20"/>
                <w:szCs w:val="20"/>
              </w:rPr>
              <w:t xml:space="preserve">P3</w:t>
            </w:r>
          </w:p>
        </w:tc>
        <w:tc>
          <w:tcPr>
            <w:tcW w:type="dxa" w:w="2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TC-091–095</w:t>
            </w:r>
          </w:p>
        </w:tc>
      </w:tr>
    </w:tbl>
    <w:p>
      <w:r>
        <w:rPr>
          <w:sz w:val="10"/>
          <w:szCs w:val="10"/>
        </w:rPr>
        <w:t xml:space="preserve"/>
      </w:r>
    </w:p>
    <w:p>
      <w:pPr>
        <w:pStyle w:val="Heading2"/>
      </w:pPr>
      <w:r>
        <w:rPr>
          <w:rFonts w:ascii="Arial" w:cs="Arial" w:eastAsia="Arial" w:hAnsi="Arial"/>
        </w:rPr>
        <w:t xml:space="preserve">4. Test Types &amp; Approach</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2200"/>
        <w:gridCol w:w="1760"/>
      </w:tblGrid>
      <w:tr>
        <w:trPr>
          <w:tblHeader/>
        </w:trPr>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Test Type</w:t>
            </w:r>
          </w:p>
        </w:tc>
        <w:tc>
          <w:tcPr>
            <w:tcW w:type="dxa" w:w="3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Purpose &amp; Coverage</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Tool</w:t>
            </w:r>
          </w:p>
        </w:tc>
        <w:tc>
          <w:tcPr>
            <w:tcW w:type="dxa" w:w="1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When Run</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Functional — Happy Path</w:t>
            </w:r>
          </w:p>
        </w:tc>
        <w:tc>
          <w:tcPr>
            <w:tcW w:type="dxa" w:w="3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Validates correct system behaviour for valid inputs. Forms the @smoke suite.</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E2E + API</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Functional — Negative</w:t>
            </w:r>
          </w:p>
        </w:tc>
        <w:tc>
          <w:tcPr>
            <w:tcW w:type="dxa" w:w="3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Invalid inputs, missing fields, wrong formats. Minimum 10 per assessment spec.</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E2E + API</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Functional — Edge Case</w:t>
            </w:r>
          </w:p>
        </w:tc>
        <w:tc>
          <w:tcPr>
            <w:tcW w:type="dxa" w:w="3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Boundary values, state transitions, branching logic extremes. Minimum 6.</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E2E</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API Contract</w:t>
            </w:r>
          </w:p>
        </w:tc>
        <w:tc>
          <w:tcPr>
            <w:tcW w:type="dxa" w:w="3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Validates all 4 endpoints: status codes, response schema, error body structure.</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APIRequestContext</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API Failure / Retry</w:t>
            </w:r>
          </w:p>
        </w:tc>
        <w:tc>
          <w:tcPr>
            <w:tcW w:type="dxa" w:w="3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BS1 4DJ fixture (500 → retry), timeout simulation, missing auth.</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APIRequestContext</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State Transition</w:t>
            </w:r>
          </w:p>
        </w:tc>
        <w:tc>
          <w:tcPr>
            <w:tcW w:type="dxa" w:w="3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Verifies UI state changes: loading → loaded, error → retry, step → step.</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E2E</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Accessibility</w:t>
            </w:r>
          </w:p>
        </w:tc>
        <w:tc>
          <w:tcPr>
            <w:tcW w:type="dxa" w:w="3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WCAG 2.1 AA via axe-core. Keyboard navigation. Touch target sizes.</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@axe-core/playwright</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On merge to main</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Visual Regression</w:t>
            </w:r>
          </w:p>
        </w:tc>
        <w:tc>
          <w:tcPr>
            <w:tcW w:type="dxa" w:w="3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Screenshot comparison against baseline for desktop and mobile viewports.</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screenshot API</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On merge to main</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Performance Baseline</w:t>
            </w:r>
          </w:p>
        </w:tc>
        <w:tc>
          <w:tcPr>
            <w:tcW w:type="dxa" w:w="3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Core Web Vitals: LCP, FID, CLS. Response time &lt; 2s for all API calls.</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Lighthouse + Playwright timing</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On merge to main</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Exploratory</w:t>
            </w:r>
          </w:p>
        </w:tc>
        <w:tc>
          <w:tcPr>
            <w:tcW w:type="dxa" w:w="3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Charter-driven manual session. Focus: branching logic and state transitions.</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Human — session notes</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Post-build (Day 4)</w:t>
            </w:r>
          </w:p>
        </w:tc>
      </w:tr>
    </w:tbl>
    <w:p>
      <w:r>
        <w:rPr>
          <w:sz w:val="10"/>
          <w:szCs w:val="10"/>
        </w:rPr>
        <w:t xml:space="preserve"/>
      </w:r>
    </w:p>
    <w:p>
      <w:pPr>
        <w:pStyle w:val="Heading2"/>
      </w:pPr>
      <w:r>
        <w:rPr>
          <w:rFonts w:ascii="Arial" w:cs="Arial" w:eastAsia="Arial" w:hAnsi="Arial"/>
        </w:rPr>
        <w:t xml:space="preserve">5. Test Data Strategy</w:t>
      </w:r>
    </w:p>
    <w:p>
      <w:pPr>
        <w:spacing w:after="140" w:before="60"/>
      </w:pPr>
      <w:r>
        <w:rPr>
          <w:rFonts w:ascii="Arial" w:cs="Arial" w:eastAsia="Arial" w:hAnsi="Arial"/>
          <w:color w:val="1A1A1A"/>
          <w:sz w:val="20"/>
          <w:szCs w:val="20"/>
        </w:rPr>
        <w:t xml:space="preserve">All test data is deterministic (GL-T-010) — every test input produces a predictable, pre-configured response. No external APIs or databases are called during testing. Test data is centralised in fixtures/testData.ts and in the Next.js API route in-memory fixtures.</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760"/>
        <w:gridCol w:w="2400"/>
      </w:tblGrid>
      <w:tr>
        <w:trPr>
          <w:tblHeader/>
        </w:trPr>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Test Data / Fixture</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Configured Response</w:t>
            </w:r>
          </w:p>
        </w:tc>
        <w:tc>
          <w:tcPr>
            <w:tcW w:type="dxa" w:w="2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Tests</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TC Reference</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SW1A 1AA</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12 addresses returned</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Happy path — address selection</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All postcode lookup tests</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EC1A 1BB</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0 addresses (empty state)</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Empty state + manual entry fallback</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US-004, TC-011–013</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M1 1AE</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Simulated 1500ms latency</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Loading state visibility</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US-005, TC-014–015</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BS1 4DJ</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500 error first call, success on retry</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Error state + retry mechanism</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US-006, TC-016–019</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INVALID</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Format error (e.g. '12345', empty)</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Validation error messages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TC-005–010</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Heavy Waste flag</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heavyWaste:true in API payload</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Disables 12yd and 14yd skips</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US-011–012, TC-035–040</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Plasterboard flag</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plasterboard:true + option required</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Triggers branching UI in Step 2</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US-008–009, TC-025–030</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XSS input</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&lt;script&gt;alert(1)&lt;/script&gt;</w:t>
            </w:r>
          </w:p>
        </w:tc>
        <w:tc>
          <w:tcPr>
            <w:tcW w:type="dxa" w:w="2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Input sanitisation, no execution</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TC-009</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SQL injection</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 OR 1=1 --</w:t>
            </w:r>
          </w:p>
        </w:tc>
        <w:tc>
          <w:tcPr>
            <w:tcW w:type="dxa" w:w="2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Input rejection, 400/422 response</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TC-010, TC-067</w:t>
            </w:r>
          </w:p>
        </w:tc>
      </w:tr>
    </w:tbl>
    <w:p>
      <w:r>
        <w:rPr>
          <w:sz w:val="10"/>
          <w:szCs w:val="10"/>
        </w:rPr>
        <w:t xml:space="preserve"/>
      </w:r>
    </w:p>
    <w:p>
      <w:pPr>
        <w:spacing w:after="140" w:before="60"/>
      </w:pPr>
      <w:r>
        <w:rPr>
          <w:rFonts w:ascii="Arial" w:cs="Arial" w:eastAsia="Arial" w:hAnsi="Arial"/>
          <w:color w:val="1A1A1A"/>
          <w:sz w:val="20"/>
          <w:szCs w:val="20"/>
        </w:rPr>
        <w:t xml:space="preserve">Security test inputs (XSS, SQL injection) are always run through input fields to verify sanitisation. These are included in the negative test suite and must return a 400/422 error, never a 500 or a successful booking.</w:t>
      </w:r>
    </w:p>
    <w:p>
      <w:r>
        <w:rPr>
          <w:sz w:val="10"/>
          <w:szCs w:val="10"/>
        </w:rPr>
        <w:t xml:space="preserve"/>
      </w:r>
    </w:p>
    <w:p>
      <w:pPr>
        <w:pStyle w:val="Heading2"/>
      </w:pPr>
      <w:r>
        <w:rPr>
          <w:rFonts w:ascii="Arial" w:cs="Arial" w:eastAsia="Arial" w:hAnsi="Arial"/>
        </w:rPr>
        <w:t xml:space="preserve">6. Non-Functional Requirements (NFR)</w:t>
      </w:r>
    </w:p>
    <w:p>
      <w:pPr>
        <w:spacing w:after="140" w:before="60"/>
      </w:pPr>
      <w:r>
        <w:rPr>
          <w:rFonts w:ascii="Arial" w:cs="Arial" w:eastAsia="Arial" w:hAnsi="Arial"/>
          <w:color w:val="1A1A1A"/>
          <w:sz w:val="20"/>
          <w:szCs w:val="20"/>
        </w:rPr>
        <w:t xml:space="preserve">Non-functional requirements define quality attributes beyond functional correctness. Each NFR has a measurable acceptance criterion and a designated measurement tool.</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2800"/>
        <w:gridCol w:w="2200"/>
        <w:gridCol w:w="1260"/>
      </w:tblGrid>
      <w:tr>
        <w:trPr>
          <w:tblHeader/>
        </w:trPr>
        <w:tc>
          <w:tcPr>
            <w:tcW w:type="dxa" w:w="9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ID</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NFR</w:t>
            </w:r>
          </w:p>
        </w:tc>
        <w:tc>
          <w:tcPr>
            <w:tcW w:type="dxa" w:w="2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Acceptance Criterion</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Measurement</w:t>
            </w:r>
          </w:p>
        </w:tc>
        <w:tc>
          <w:tcPr>
            <w:tcW w:type="dxa" w:w="12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Priority</w:t>
            </w:r>
          </w:p>
        </w:tc>
      </w:tr>
      <w:tr>
        <w:tc>
          <w:tcPr>
            <w:tcW w:type="dxa" w:w="9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NFR-001</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Performance — Page Load</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Lighthouse LCP &lt; 3.0s on desktop</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Lighthouse CLI in CI</w:t>
            </w:r>
          </w:p>
        </w:tc>
        <w:tc>
          <w:tcPr>
            <w:tcW w:type="dxa" w:w="12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r>
      <w:tr>
        <w:tc>
          <w:tcPr>
            <w:tcW w:type="dxa" w:w="9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NFR-002</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Performance — API Response</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/api/* endpoints respond &lt; 2000ms</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timing assertion</w:t>
            </w:r>
          </w:p>
        </w:tc>
        <w:tc>
          <w:tcPr>
            <w:tcW w:type="dxa" w:w="12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r>
      <w:tr>
        <w:tc>
          <w:tcPr>
            <w:tcW w:type="dxa" w:w="9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NFR-003</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Accessibility</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WCAG 2.1 AA — zero critical or serious violations</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@axe-core/playwright</w:t>
            </w:r>
          </w:p>
        </w:tc>
        <w:tc>
          <w:tcPr>
            <w:tcW w:type="dxa" w:w="12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r>
      <w:tr>
        <w:tc>
          <w:tcPr>
            <w:tcW w:type="dxa" w:w="9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NFR-004</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Mobile Responsiveness</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Full booking flow usable at 375px viewport width</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mobile viewport</w:t>
            </w:r>
          </w:p>
        </w:tc>
        <w:tc>
          <w:tcPr>
            <w:tcW w:type="dxa" w:w="12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r>
      <w:tr>
        <w:tc>
          <w:tcPr>
            <w:tcW w:type="dxa" w:w="9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NFR-005</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Touch Target Size</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All interactive elements ≥ 44×44px (WCAG 2.5.5)</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boundingBox assertion</w:t>
            </w:r>
          </w:p>
        </w:tc>
        <w:tc>
          <w:tcPr>
            <w:tcW w:type="dxa" w:w="12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r>
      <w:tr>
        <w:tc>
          <w:tcPr>
            <w:tcW w:type="dxa" w:w="9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NFR-006</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Double Submit Prevention</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POST /api/booking/confirm fires exactly once per user action</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request intercept</w:t>
            </w:r>
          </w:p>
        </w:tc>
        <w:tc>
          <w:tcPr>
            <w:tcW w:type="dxa" w:w="12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r>
      <w:tr>
        <w:tc>
          <w:tcPr>
            <w:tcW w:type="dxa" w:w="9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NFR-007</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Browser Compatibility</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Chromium and WebKit (Safari) — full suite passes on both</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multi-project config</w:t>
            </w:r>
          </w:p>
        </w:tc>
        <w:tc>
          <w:tcPr>
            <w:tcW w:type="dxa" w:w="12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r>
      <w:tr>
        <w:tc>
          <w:tcPr>
            <w:tcW w:type="dxa" w:w="9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NFR-008</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No Horizontal Overflow</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No horizontal scrollbar at 375px viewport</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scrollWidth assertion</w:t>
            </w:r>
          </w:p>
        </w:tc>
        <w:tc>
          <w:tcPr>
            <w:tcW w:type="dxa" w:w="12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7F6000"/>
                <w:sz w:val="20"/>
                <w:szCs w:val="20"/>
              </w:rPr>
              <w:t xml:space="preserve">P2</w:t>
            </w:r>
          </w:p>
        </w:tc>
      </w:tr>
      <w:tr>
        <w:tc>
          <w:tcPr>
            <w:tcW w:type="dxa" w:w="9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NFR-009</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Core Web Vitals — CLS</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Cumulative Layout Shift &lt; 0.1</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Lighthouse</w:t>
            </w:r>
          </w:p>
        </w:tc>
        <w:tc>
          <w:tcPr>
            <w:tcW w:type="dxa" w:w="12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375623"/>
                <w:sz w:val="20"/>
                <w:szCs w:val="20"/>
              </w:rPr>
              <w:t xml:space="preserve">P3</w:t>
            </w:r>
          </w:p>
        </w:tc>
      </w:tr>
      <w:tr>
        <w:tc>
          <w:tcPr>
            <w:tcW w:type="dxa" w:w="9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NFR-010</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Public URL</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Demo URL accessible without login, VPN, or expiry at time of submission</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Manual verification</w:t>
            </w:r>
          </w:p>
        </w:tc>
        <w:tc>
          <w:tcPr>
            <w:tcW w:type="dxa" w:w="12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843C0C"/>
                <w:sz w:val="20"/>
                <w:szCs w:val="20"/>
              </w:rPr>
              <w:t xml:space="preserve">P1</w:t>
            </w:r>
          </w:p>
        </w:tc>
      </w:tr>
    </w:tbl>
    <w:p>
      <w:r>
        <w:rPr>
          <w:sz w:val="10"/>
          <w:szCs w:val="10"/>
        </w:rPr>
        <w:t xml:space="preserve"/>
      </w:r>
    </w:p>
    <w:p>
      <w:pPr>
        <w:pStyle w:val="Heading2"/>
      </w:pPr>
      <w:r>
        <w:rPr>
          <w:rFonts w:ascii="Arial" w:cs="Arial" w:eastAsia="Arial" w:hAnsi="Arial"/>
        </w:rPr>
        <w:t xml:space="preserve">7. CI/CD Integration &amp; Quality Gates</w:t>
      </w:r>
    </w:p>
    <w:p>
      <w:pPr>
        <w:spacing w:after="140" w:before="60"/>
      </w:pPr>
      <w:r>
        <w:rPr>
          <w:rFonts w:ascii="Arial" w:cs="Arial" w:eastAsia="Arial" w:hAnsi="Arial"/>
          <w:color w:val="1A1A1A"/>
          <w:sz w:val="20"/>
          <w:szCs w:val="20"/>
        </w:rPr>
        <w:t xml:space="preserve">Quality gates in the CI/CD pipeline enforce that only code meeting minimum quality standards is deployed to production. The pipeline is defined in .github/workflows/playwright.yml (ADR-003).</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1400"/>
        <w:gridCol w:w="2400"/>
        <w:gridCol w:w="2000"/>
        <w:gridCol w:w="1200"/>
        <w:gridCol w:w="1960"/>
      </w:tblGrid>
      <w:tr>
        <w:trPr>
          <w:tblHeader/>
        </w:trPr>
        <w:tc>
          <w:tcPr>
            <w:tcW w:type="dxa" w:w="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w:t>
            </w:r>
          </w:p>
        </w:tc>
        <w:tc>
          <w:tcPr>
            <w:tcW w:type="dxa" w:w="1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Step</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Command / Action</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Trigger</w:t>
            </w:r>
          </w:p>
        </w:tc>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Depends On</w:t>
            </w:r>
          </w:p>
        </w:tc>
        <w:tc>
          <w:tcPr>
            <w:tcW w:type="dxa" w:w="19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Target Duration</w:t>
            </w:r>
          </w:p>
        </w:tc>
      </w:tr>
      <w:tr>
        <w:tc>
          <w:tcPr>
            <w:tcW w:type="dxa" w:w="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1</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Checkout</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git checkout</w:t>
            </w:r>
          </w:p>
        </w:tc>
        <w:tc>
          <w:tcPr>
            <w:tcW w:type="dxa" w:w="2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push / PR</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&lt; 30s</w:t>
            </w:r>
          </w:p>
        </w:tc>
      </w:tr>
      <w:tr>
        <w:tc>
          <w:tcPr>
            <w:tcW w:type="dxa" w:w="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2</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Install</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npm ci</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push / PR</w:t>
            </w:r>
          </w:p>
        </w:tc>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1</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~60s</w:t>
            </w:r>
          </w:p>
        </w:tc>
      </w:tr>
      <w:tr>
        <w:tc>
          <w:tcPr>
            <w:tcW w:type="dxa" w:w="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3</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TypeScript Gate</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tsc --noEmit</w:t>
            </w:r>
          </w:p>
        </w:tc>
        <w:tc>
          <w:tcPr>
            <w:tcW w:type="dxa" w:w="2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push / PR</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2</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843C0C"/>
                <w:sz w:val="18"/>
                <w:szCs w:val="18"/>
              </w:rPr>
              <w:t xml:space="preserve">~30s — BLOCKS on error</w:t>
            </w:r>
          </w:p>
        </w:tc>
      </w:tr>
      <w:tr>
        <w:tc>
          <w:tcPr>
            <w:tcW w:type="dxa" w:w="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4</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Install Playwright</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npx playwright install chromium</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push / PR</w:t>
            </w:r>
          </w:p>
        </w:tc>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3</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~60s</w:t>
            </w:r>
          </w:p>
        </w:tc>
      </w:tr>
      <w:tr>
        <w:tc>
          <w:tcPr>
            <w:tcW w:type="dxa" w:w="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5</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Run @smoke suite</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test --grep @smoke</w:t>
            </w:r>
          </w:p>
        </w:tc>
        <w:tc>
          <w:tcPr>
            <w:tcW w:type="dxa" w:w="2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PR</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4</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843C0C"/>
                <w:sz w:val="18"/>
                <w:szCs w:val="18"/>
              </w:rPr>
              <w:t xml:space="preserve">&lt; 3 min — BLOCKS on fail</w:t>
            </w:r>
          </w:p>
        </w:tc>
      </w:tr>
      <w:tr>
        <w:tc>
          <w:tcPr>
            <w:tcW w:type="dxa" w:w="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6</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Run full regression</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playwright test (all)</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Merge to main</w:t>
            </w:r>
          </w:p>
        </w:tc>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4</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843C0C"/>
                <w:sz w:val="18"/>
                <w:szCs w:val="18"/>
              </w:rPr>
              <w:t xml:space="preserve">&lt; 10 min — BLOCKS on fail</w:t>
            </w:r>
          </w:p>
        </w:tc>
      </w:tr>
      <w:tr>
        <w:tc>
          <w:tcPr>
            <w:tcW w:type="dxa" w:w="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7</w:t>
            </w:r>
          </w:p>
        </w:tc>
        <w:tc>
          <w:tcPr>
            <w:tcW w:type="dxa" w:w="1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Upload HTML Report</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actions/upload-artifact</w:t>
            </w:r>
          </w:p>
        </w:tc>
        <w:tc>
          <w:tcPr>
            <w:tcW w:type="dxa" w:w="20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Every push / PR</w:t>
            </w:r>
          </w:p>
        </w:tc>
        <w:tc>
          <w:tcPr>
            <w:tcW w:type="dxa" w:w="1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5/6</w:t>
            </w:r>
          </w:p>
        </w:tc>
        <w:tc>
          <w:tcPr>
            <w:tcW w:type="dxa" w:w="19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~15s</w:t>
            </w:r>
          </w:p>
        </w:tc>
      </w:tr>
      <w:tr>
        <w:tc>
          <w:tcPr>
            <w:tcW w:type="dxa" w:w="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center"/>
            </w:pPr>
            <w:r>
              <w:rPr>
                <w:rFonts w:ascii="Arial" w:cs="Arial" w:eastAsia="Arial" w:hAnsi="Arial"/>
                <w:b/>
                <w:bCs/>
                <w:color w:val="1A1A1A"/>
                <w:sz w:val="20"/>
                <w:szCs w:val="20"/>
              </w:rPr>
              <w:t xml:space="preserve">8</w:t>
            </w:r>
          </w:p>
        </w:tc>
        <w:tc>
          <w:tcPr>
            <w:tcW w:type="dxa" w:w="1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Deploy to Vercel</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Vercel GitHub integration</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Merge to main (after step 6 passes)</w:t>
            </w:r>
          </w:p>
        </w:tc>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Step 6</w:t>
            </w:r>
          </w:p>
        </w:tc>
        <w:tc>
          <w:tcPr>
            <w:tcW w:type="dxa" w:w="19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~60s</w:t>
            </w:r>
          </w:p>
        </w:tc>
      </w:tr>
    </w:tbl>
    <w:p>
      <w:r>
        <w:rPr>
          <w:sz w:val="10"/>
          <w:szCs w:val="10"/>
        </w:rPr>
        <w:t xml:space="preserve"/>
      </w:r>
    </w:p>
    <w:p>
      <w:pPr>
        <w:spacing w:after="140" w:before="60"/>
      </w:pPr>
      <w:r>
        <w:rPr>
          <w:rFonts w:ascii="Arial" w:cs="Arial" w:eastAsia="Arial" w:hAnsi="Arial"/>
          <w:color w:val="1A1A1A"/>
          <w:sz w:val="20"/>
          <w:szCs w:val="20"/>
        </w:rPr>
        <w:t xml:space="preserve">Rationale for gate placement: TypeScript compilation gate (Step 3) runs before Playwright to fail fast on contract mismatches without spending 3+ minutes on browser setup. @smoke gate on PR ensures critical paths are always green before code is reviewable. @regression gate on merge ensures full coverage before production deployment.</w:t>
      </w:r>
    </w:p>
    <w:p>
      <w:r>
        <w:rPr>
          <w:sz w:val="10"/>
          <w:szCs w:val="10"/>
        </w:rPr>
        <w:t xml:space="preserve"/>
      </w:r>
    </w:p>
    <w:p>
      <w:pPr>
        <w:pStyle w:val="Heading2"/>
      </w:pPr>
      <w:r>
        <w:rPr>
          <w:rFonts w:ascii="Arial" w:cs="Arial" w:eastAsia="Arial" w:hAnsi="Arial"/>
        </w:rPr>
        <w:t xml:space="preserve">8. AI-Augmented Testing Approach</w:t>
      </w:r>
    </w:p>
    <w:p>
      <w:pPr>
        <w:spacing w:after="140" w:before="60"/>
      </w:pPr>
      <w:r>
        <w:rPr>
          <w:rFonts w:ascii="Arial" w:cs="Arial" w:eastAsia="Arial" w:hAnsi="Arial"/>
          <w:color w:val="1A1A1A"/>
          <w:sz w:val="20"/>
          <w:szCs w:val="20"/>
        </w:rPr>
        <w:t xml:space="preserve">Claude Code (GL-T-001, ADR-006) is used as an accelerator for test authoring, not as a replacement for test design judgment. The following activities use AI assistance:</w:t>
      </w:r>
    </w:p>
    <w:p>
      <w:pPr>
        <w:pStyle w:val="ListParagraph"/>
        <w:numPr>
          <w:ilvl w:val="0"/>
          <w:numId w:val="2"/>
        </w:numPr>
      </w:pPr>
      <w:r>
        <w:rPr>
          <w:rFonts w:ascii="Arial" w:cs="Arial" w:eastAsia="Arial" w:hAnsi="Arial"/>
          <w:color w:val="1A1A1A"/>
          <w:sz w:val="20"/>
          <w:szCs w:val="20"/>
        </w:rPr>
        <w:t xml:space="preserve">Test case generation from User Stories: Claude Code generates an initial set of test cases for each US, which the engineer reviews, supplements, and approves.</w:t>
      </w:r>
    </w:p>
    <w:p>
      <w:pPr>
        <w:pStyle w:val="ListParagraph"/>
        <w:numPr>
          <w:ilvl w:val="0"/>
          <w:numId w:val="2"/>
        </w:numPr>
      </w:pPr>
      <w:r>
        <w:rPr>
          <w:rFonts w:ascii="Arial" w:cs="Arial" w:eastAsia="Arial" w:hAnsi="Arial"/>
          <w:color w:val="1A1A1A"/>
          <w:sz w:val="20"/>
          <w:szCs w:val="20"/>
        </w:rPr>
        <w:t xml:space="preserve">Playwright spec scaffolding: Framework structure, page object stubs, and API test templates are generated by Claude Code and verified by running the suite locally.</w:t>
      </w:r>
    </w:p>
    <w:p>
      <w:pPr>
        <w:pStyle w:val="ListParagraph"/>
        <w:numPr>
          <w:ilvl w:val="0"/>
          <w:numId w:val="2"/>
        </w:numPr>
      </w:pPr>
      <w:r>
        <w:rPr>
          <w:rFonts w:ascii="Arial" w:cs="Arial" w:eastAsia="Arial" w:hAnsi="Arial"/>
          <w:color w:val="1A1A1A"/>
          <w:sz w:val="20"/>
          <w:szCs w:val="20"/>
        </w:rPr>
        <w:t xml:space="preserve">Edge case discovery: Claude Code is prompted with the booking flow logic to suggest non-obvious edge cases (e.g., what happens if the user navigates back after confirming?).</w:t>
      </w:r>
    </w:p>
    <w:p>
      <w:pPr>
        <w:pStyle w:val="ListParagraph"/>
        <w:numPr>
          <w:ilvl w:val="0"/>
          <w:numId w:val="2"/>
        </w:numPr>
      </w:pPr>
      <w:r>
        <w:rPr>
          <w:rFonts w:ascii="Arial" w:cs="Arial" w:eastAsia="Arial" w:hAnsi="Arial"/>
          <w:color w:val="1A1A1A"/>
          <w:sz w:val="20"/>
          <w:szCs w:val="20"/>
        </w:rPr>
        <w:t xml:space="preserve">Documentation: This Test Strategy document is generated with Claude Code assistance and reviewed and approved by the author.</w:t>
      </w:r>
    </w:p>
    <w:p>
      <w:r>
        <w:rPr>
          <w:sz w:val="10"/>
          <w:szCs w:val="10"/>
        </w:rPr>
        <w:t xml:space="preserve"/>
      </w:r>
    </w:p>
    <w:p>
      <w:pPr>
        <w:spacing w:after="140" w:before="60"/>
      </w:pPr>
      <w:r>
        <w:rPr>
          <w:rFonts w:ascii="Arial" w:cs="Arial" w:eastAsia="Arial" w:hAnsi="Arial"/>
          <w:color w:val="1A1A1A"/>
          <w:sz w:val="20"/>
          <w:szCs w:val="20"/>
        </w:rPr>
        <w:t xml:space="preserve">All AI-generated test content is logged in DOC-008 (AI Engineering Log) with: what was requested, what was generated, what was modified, and the outcome. This demonstrates professional AI-augmented practice — AI as accelerator, engineer as decision-maker.</w:t>
      </w:r>
    </w:p>
    <w:p>
      <w:r>
        <w:rPr>
          <w:sz w:val="10"/>
          <w:szCs w:val="10"/>
        </w:rPr>
        <w:t xml:space="preserve"/>
      </w:r>
    </w:p>
    <w:p>
      <w:pPr>
        <w:pStyle w:val="Heading2"/>
      </w:pPr>
      <w:r>
        <w:rPr>
          <w:rFonts w:ascii="Arial" w:cs="Arial" w:eastAsia="Arial" w:hAnsi="Arial"/>
        </w:rPr>
        <w:t xml:space="preserve">9. Defect Management</w:t>
      </w:r>
    </w:p>
    <w:p>
      <w:pPr>
        <w:spacing w:after="140" w:before="60"/>
      </w:pPr>
      <w:r>
        <w:rPr>
          <w:rFonts w:ascii="Arial" w:cs="Arial" w:eastAsia="Arial" w:hAnsi="Arial"/>
          <w:color w:val="1A1A1A"/>
          <w:sz w:val="20"/>
          <w:szCs w:val="20"/>
        </w:rPr>
        <w:t xml:space="preserve">Defects found during testing are classified by severity and documented in bug-reports.md (assessment requirement) and tracked in GitHub Issues (portfolio visibility). The assessment requires minimum 3 bugs, of which at least 1 must involve branching logic or state transitions.</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Severity</w:t>
            </w:r>
          </w:p>
        </w:tc>
        <w:tc>
          <w:tcPr>
            <w:tcW w:type="dxa" w:w="3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Examples</w:t>
            </w:r>
          </w:p>
        </w:tc>
        <w:tc>
          <w:tcPr>
            <w:tcW w:type="dxa" w:w="3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Handling Procedure</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843C0C"/>
                <w:sz w:val="20"/>
                <w:szCs w:val="20"/>
              </w:rPr>
              <w:t xml:space="preserve">Critical (P1)</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Booking flow cannot be completed; API returns 5xx unexpectedly; double submit occurs</w:t>
            </w:r>
          </w:p>
        </w:tc>
        <w:tc>
          <w:tcPr>
            <w:tcW w:type="dxa" w:w="3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Log immediately in bug-reports.md; fix before any other work; retest same day</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7F6000"/>
                <w:sz w:val="20"/>
                <w:szCs w:val="20"/>
              </w:rPr>
              <w:t xml:space="preserve">Major (P2)</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Wrong price displayed; incorrect skip disabled/enabled; plasterboard branching fails</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Log in bug-reports.md; fix within current day; retest before submission</w:t>
            </w:r>
          </w:p>
        </w:tc>
      </w:tr>
      <w:tr>
        <w:tc>
          <w:tcPr>
            <w:tcW w:type="dxa" w:w="1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Minor (P3)</w:t>
            </w:r>
          </w:p>
        </w:tc>
        <w:tc>
          <w:tcPr>
            <w:tcW w:type="dxa" w:w="3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Cosmetic issue; label truncation; minor layout shift</w:t>
            </w:r>
          </w:p>
        </w:tc>
        <w:tc>
          <w:tcPr>
            <w:tcW w:type="dxa" w:w="3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Log in bug-reports.md; fix if time permits; note in submission</w:t>
            </w:r>
          </w:p>
        </w:tc>
      </w:tr>
      <w:tr>
        <w:tc>
          <w:tcPr>
            <w:tcW w:type="dxa" w:w="1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375623"/>
                <w:sz w:val="20"/>
                <w:szCs w:val="20"/>
              </w:rPr>
              <w:t xml:space="preserve">Trivial (P4)</w:t>
            </w:r>
          </w:p>
        </w:tc>
        <w:tc>
          <w:tcPr>
            <w:tcW w:type="dxa" w:w="3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Spelling error; colour inconsistency</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Log as observation in exploratory notes; fix won't block submission</w:t>
            </w:r>
          </w:p>
        </w:tc>
      </w:tr>
    </w:tbl>
    <w:p>
      <w:r>
        <w:rPr>
          <w:sz w:val="10"/>
          <w:szCs w:val="10"/>
        </w:rPr>
        <w:t xml:space="preserve"/>
      </w:r>
    </w:p>
    <w:p>
      <w:pPr>
        <w:pStyle w:val="Heading2"/>
      </w:pPr>
      <w:r>
        <w:rPr>
          <w:rFonts w:ascii="Arial" w:cs="Arial" w:eastAsia="Arial" w:hAnsi="Arial"/>
        </w:rPr>
        <w:t xml:space="preserve">10. Entry &amp; Exit Criteria</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Entry Criteria (when testing begins)</w:t>
            </w:r>
          </w:p>
        </w:tc>
        <w:tc>
          <w:tcPr>
            <w:tcW w:type="dxa" w:w="468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Exit Criteria (definition of done for QA)</w:t>
            </w:r>
          </w:p>
        </w:tc>
      </w:tr>
      <w:tr>
        <w:tc>
          <w:tcPr>
            <w:tcW w:type="dxa" w:w="468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tcPr>
          <w:p>
            <w:pPr>
              <w:pStyle w:val="ListParagraph"/>
              <w:numPr>
                <w:ilvl w:val="0"/>
                <w:numId w:val="3"/>
              </w:numPr>
            </w:pPr>
            <w:r>
              <w:rPr>
                <w:rFonts w:ascii="Arial" w:cs="Arial" w:eastAsia="Arial" w:hAnsi="Arial"/>
                <w:color w:val="1A1A1A"/>
                <w:sz w:val="20"/>
                <w:szCs w:val="20"/>
              </w:rPr>
              <w:t xml:space="preserve">Application deployed to Vercel preview URL</w:t>
            </w:r>
          </w:p>
          <w:p>
            <w:pPr>
              <w:pStyle w:val="ListParagraph"/>
              <w:numPr>
                <w:ilvl w:val="0"/>
                <w:numId w:val="3"/>
              </w:numPr>
            </w:pPr>
            <w:r>
              <w:rPr>
                <w:rFonts w:ascii="Arial" w:cs="Arial" w:eastAsia="Arial" w:hAnsi="Arial"/>
                <w:color w:val="1A1A1A"/>
                <w:sz w:val="20"/>
                <w:szCs w:val="20"/>
              </w:rPr>
              <w:t xml:space="preserve">All 4 API endpoints return expected responses (verified with curl or Playwright API test)</w:t>
            </w:r>
          </w:p>
          <w:p>
            <w:pPr>
              <w:pStyle w:val="ListParagraph"/>
              <w:numPr>
                <w:ilvl w:val="0"/>
                <w:numId w:val="3"/>
              </w:numPr>
            </w:pPr>
            <w:r>
              <w:rPr>
                <w:rFonts w:ascii="Arial" w:cs="Arial" w:eastAsia="Arial" w:hAnsi="Arial"/>
                <w:color w:val="1A1A1A"/>
                <w:sz w:val="20"/>
                <w:szCs w:val="20"/>
              </w:rPr>
              <w:t xml:space="preserve">Test data fixtures confirmed: SW1A 1AA returns 12+ addresses, BS1 4DJ returns 500 on first call</w:t>
            </w:r>
          </w:p>
          <w:p>
            <w:pPr>
              <w:pStyle w:val="ListParagraph"/>
              <w:numPr>
                <w:ilvl w:val="0"/>
                <w:numId w:val="3"/>
              </w:numPr>
            </w:pPr>
            <w:r>
              <w:rPr>
                <w:rFonts w:ascii="Arial" w:cs="Arial" w:eastAsia="Arial" w:hAnsi="Arial"/>
                <w:color w:val="1A1A1A"/>
                <w:sz w:val="20"/>
                <w:szCs w:val="20"/>
              </w:rPr>
              <w:t xml:space="preserve">Playwright test framework installed and baseline run completes without configuration errors</w:t>
            </w:r>
          </w:p>
          <w:p>
            <w:pPr>
              <w:pStyle w:val="ListParagraph"/>
              <w:numPr>
                <w:ilvl w:val="0"/>
                <w:numId w:val="3"/>
              </w:numPr>
            </w:pPr>
            <w:r>
              <w:rPr>
                <w:rFonts w:ascii="Arial" w:cs="Arial" w:eastAsia="Arial" w:hAnsi="Arial"/>
                <w:color w:val="1A1A1A"/>
                <w:sz w:val="20"/>
                <w:szCs w:val="20"/>
              </w:rPr>
              <w:t xml:space="preserve">DOC-003 Backlog approved — all Must Have US marked as In Progress or Done</w:t>
            </w:r>
          </w:p>
        </w:tc>
        <w:tc>
          <w:tcPr>
            <w:tcW w:type="dxa" w:w="4680"/>
            <w:tcBorders>
              <w:top w:val="single" w:color="CCCCCC" w:sz="1"/>
              <w:left w:val="single" w:color="CCCCCC" w:sz="1"/>
              <w:bottom w:val="single" w:color="CCCCCC" w:sz="1"/>
              <w:right w:val="single" w:color="CCCCCC" w:sz="1"/>
            </w:tcBorders>
            <w:shd w:fill="E2EFDA" w:val="clear"/>
            <w:tcMar>
              <w:top w:type="dxa" w:w="100"/>
              <w:left w:type="dxa" w:w="140"/>
              <w:bottom w:type="dxa" w:w="100"/>
              <w:right w:type="dxa" w:w="140"/>
            </w:tcMar>
          </w:tcPr>
          <w:p>
            <w:pPr>
              <w:pStyle w:val="ListParagraph"/>
              <w:numPr>
                <w:ilvl w:val="0"/>
                <w:numId w:val="4"/>
              </w:numPr>
            </w:pPr>
            <w:r>
              <w:rPr>
                <w:rFonts w:ascii="Arial" w:cs="Arial" w:eastAsia="Arial" w:hAnsi="Arial"/>
                <w:color w:val="1A1A1A"/>
                <w:sz w:val="20"/>
                <w:szCs w:val="20"/>
              </w:rPr>
              <w:t xml:space="preserve">All @smoke tests pass on Chromium and WebKit</w:t>
            </w:r>
          </w:p>
          <w:p>
            <w:pPr>
              <w:pStyle w:val="ListParagraph"/>
              <w:numPr>
                <w:ilvl w:val="0"/>
                <w:numId w:val="4"/>
              </w:numPr>
            </w:pPr>
            <w:r>
              <w:rPr>
                <w:rFonts w:ascii="Arial" w:cs="Arial" w:eastAsia="Arial" w:hAnsi="Arial"/>
                <w:color w:val="1A1A1A"/>
                <w:sz w:val="20"/>
                <w:szCs w:val="20"/>
              </w:rPr>
              <w:t xml:space="preserve">All @regression tests pass on Chromium</w:t>
            </w:r>
          </w:p>
          <w:p>
            <w:pPr>
              <w:pStyle w:val="ListParagraph"/>
              <w:numPr>
                <w:ilvl w:val="0"/>
                <w:numId w:val="4"/>
              </w:numPr>
            </w:pPr>
            <w:r>
              <w:rPr>
                <w:rFonts w:ascii="Arial" w:cs="Arial" w:eastAsia="Arial" w:hAnsi="Arial"/>
                <w:color w:val="1A1A1A"/>
                <w:sz w:val="20"/>
                <w:szCs w:val="20"/>
              </w:rPr>
              <w:t xml:space="preserve">Zero open Critical (P1) bugs</w:t>
            </w:r>
          </w:p>
          <w:p>
            <w:pPr>
              <w:pStyle w:val="ListParagraph"/>
              <w:numPr>
                <w:ilvl w:val="0"/>
                <w:numId w:val="4"/>
              </w:numPr>
            </w:pPr>
            <w:r>
              <w:rPr>
                <w:rFonts w:ascii="Arial" w:cs="Arial" w:eastAsia="Arial" w:hAnsi="Arial"/>
                <w:color w:val="1A1A1A"/>
                <w:sz w:val="20"/>
                <w:szCs w:val="20"/>
              </w:rPr>
              <w:t xml:space="preserve">35+ manual test cases documented in manual-tests.md</w:t>
            </w:r>
          </w:p>
          <w:p>
            <w:pPr>
              <w:pStyle w:val="ListParagraph"/>
              <w:numPr>
                <w:ilvl w:val="0"/>
                <w:numId w:val="4"/>
              </w:numPr>
            </w:pPr>
            <w:r>
              <w:rPr>
                <w:rFonts w:ascii="Arial" w:cs="Arial" w:eastAsia="Arial" w:hAnsi="Arial"/>
                <w:color w:val="1A1A1A"/>
                <w:sz w:val="20"/>
                <w:szCs w:val="20"/>
              </w:rPr>
              <w:t xml:space="preserve">Minimum 3 bug reports in bug-reports.md (including 1 branching/state transition bug)</w:t>
            </w:r>
          </w:p>
          <w:p>
            <w:pPr>
              <w:pStyle w:val="ListParagraph"/>
              <w:numPr>
                <w:ilvl w:val="0"/>
                <w:numId w:val="4"/>
              </w:numPr>
            </w:pPr>
            <w:r>
              <w:rPr>
                <w:rFonts w:ascii="Arial" w:cs="Arial" w:eastAsia="Arial" w:hAnsi="Arial"/>
                <w:color w:val="1A1A1A"/>
                <w:sz w:val="20"/>
                <w:szCs w:val="20"/>
              </w:rPr>
              <w:t xml:space="preserve">Lighthouse Performance ≥ 85, Accessibility ≥ 90</w:t>
            </w:r>
          </w:p>
          <w:p>
            <w:pPr>
              <w:pStyle w:val="ListParagraph"/>
              <w:numPr>
                <w:ilvl w:val="0"/>
                <w:numId w:val="4"/>
              </w:numPr>
            </w:pPr>
            <w:r>
              <w:rPr>
                <w:rFonts w:ascii="Arial" w:cs="Arial" w:eastAsia="Arial" w:hAnsi="Arial"/>
                <w:color w:val="1A1A1A"/>
                <w:sz w:val="20"/>
                <w:szCs w:val="20"/>
              </w:rPr>
              <w:t xml:space="preserve">Public Vercel URL accessible without login or VPN</w:t>
            </w:r>
          </w:p>
          <w:p>
            <w:pPr>
              <w:pStyle w:val="ListParagraph"/>
              <w:numPr>
                <w:ilvl w:val="0"/>
                <w:numId w:val="4"/>
              </w:numPr>
            </w:pPr>
            <w:r>
              <w:rPr>
                <w:rFonts w:ascii="Arial" w:cs="Arial" w:eastAsia="Arial" w:hAnsi="Arial"/>
                <w:color w:val="1A1A1A"/>
                <w:sz w:val="20"/>
                <w:szCs w:val="20"/>
              </w:rPr>
              <w:t xml:space="preserve">GitHub Actions CI pipeline green on main branch</w:t>
            </w:r>
          </w:p>
          <w:p>
            <w:pPr>
              <w:pStyle w:val="ListParagraph"/>
              <w:numPr>
                <w:ilvl w:val="0"/>
                <w:numId w:val="4"/>
              </w:numPr>
            </w:pPr>
            <w:r>
              <w:rPr>
                <w:rFonts w:ascii="Arial" w:cs="Arial" w:eastAsia="Arial" w:hAnsi="Arial"/>
                <w:color w:val="1A1A1A"/>
                <w:sz w:val="20"/>
                <w:szCs w:val="20"/>
              </w:rPr>
              <w:t xml:space="preserve">All DOC-XXX artefacts complete and linked from README.md</w:t>
            </w:r>
          </w:p>
        </w:tc>
      </w:tr>
    </w:tbl>
    <w:p>
      <w:r>
        <w:rPr>
          <w:sz w:val="10"/>
          <w:szCs w:val="10"/>
        </w:rPr>
        <w:t xml:space="preserve"/>
      </w:r>
    </w:p>
    <w:p>
      <w:pPr>
        <w:pStyle w:val="Heading2"/>
      </w:pPr>
      <w:r>
        <w:rPr>
          <w:rFonts w:ascii="Arial" w:cs="Arial" w:eastAsia="Arial" w:hAnsi="Arial"/>
        </w:rPr>
        <w:t xml:space="preserve">11. Test Artefacts</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2400"/>
        <w:gridCol w:w="1760"/>
      </w:tblGrid>
      <w:tr>
        <w:trPr>
          <w:tblHeader/>
        </w:trPr>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Artefact</w:t>
            </w:r>
          </w:p>
        </w:tc>
        <w:tc>
          <w:tcPr>
            <w:tcW w:type="dxa" w:w="28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Description</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Location</w:t>
            </w:r>
          </w:p>
        </w:tc>
        <w:tc>
          <w:tcPr>
            <w:tcW w:type="dxa" w:w="1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Purpose</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manual-tests.md</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Manual test cases in markdown table format (35+ TCs)</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/docs</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Assessment requirement</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bug-reports.md</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Structured bug reports (3+ minimum)</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/docs</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Assessment requirement</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automation/</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Playwright test suite (TypeScript)</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/automation</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Assessment requirement</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ui/</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Screenshots: desktop, mobile, error, disabled skips, price breakdown</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/ui</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Assessment requirement</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playwright-report/</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HTML test report (CI artefact)</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Actions artefact</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Evidence of CI/CD</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DOC-005 (this doc)</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Test Strategy</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/docs · Portfolio library</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Portfolio artefact</w:t>
            </w:r>
          </w:p>
        </w:tc>
      </w:tr>
      <w:tr>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TC-XXX in DOC-003</w:t>
            </w:r>
          </w:p>
        </w:tc>
        <w:tc>
          <w:tcPr>
            <w:tcW w:type="dxa" w:w="28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Full test case traceability in Backlog</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/docs · Portfolio library</w:t>
            </w:r>
          </w:p>
        </w:tc>
        <w:tc>
          <w:tcPr>
            <w:tcW w:type="dxa" w:w="17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Portfolio artefact</w:t>
            </w:r>
          </w:p>
        </w:tc>
      </w:tr>
      <w:tr>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2E75B6"/>
                <w:sz w:val="18"/>
                <w:szCs w:val="18"/>
              </w:rPr>
              <w:t xml:space="preserve">Exploratory notes</w:t>
            </w:r>
          </w:p>
        </w:tc>
        <w:tc>
          <w:tcPr>
            <w:tcW w:type="dxa" w:w="28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Session-based testing findings</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GitHub repo /docs</w:t>
            </w:r>
          </w:p>
        </w:tc>
        <w:tc>
          <w:tcPr>
            <w:tcW w:type="dxa" w:w="1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Portfolio artefact — Should</w:t>
            </w:r>
          </w:p>
        </w:tc>
      </w:tr>
    </w:tbl>
    <w:p>
      <w:r>
        <w:rPr>
          <w:sz w:val="10"/>
          <w:szCs w:val="10"/>
        </w:rPr>
        <w:t xml:space="preserve"/>
      </w:r>
    </w:p>
    <w:p>
      <w:pPr>
        <w:pStyle w:val="Heading2"/>
      </w:pPr>
      <w:r>
        <w:rPr>
          <w:rFonts w:ascii="Arial" w:cs="Arial" w:eastAsia="Arial" w:hAnsi="Arial"/>
        </w:rPr>
        <w:t xml:space="preserve">12. Test Environments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2200"/>
        <w:gridCol w:w="3160"/>
      </w:tblGrid>
      <w:tr>
        <w:trPr>
          <w:tblHeader/>
        </w:trPr>
        <w:tc>
          <w:tcPr>
            <w:tcW w:type="dxa" w:w="16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Environment</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URL</w:t>
            </w:r>
          </w:p>
        </w:tc>
        <w:tc>
          <w:tcPr>
            <w:tcW w:type="dxa" w:w="2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Purpose</w:t>
            </w:r>
          </w:p>
        </w:tc>
        <w:tc>
          <w:tcPr>
            <w:tcW w:type="dxa" w:w="31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Notes</w:t>
            </w:r>
          </w:p>
        </w:tc>
      </w:tr>
      <w:tr>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Local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http://localhost:3000</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Development + initial test authoring</w:t>
            </w:r>
          </w:p>
        </w:tc>
        <w:tc>
          <w:tcPr>
            <w:tcW w:type="dxa" w:w="3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npm run dev; not used in CI</w:t>
            </w:r>
          </w:p>
        </w:tc>
      </w:tr>
      <w:tr>
        <w:tc>
          <w:tcPr>
            <w:tcW w:type="dxa" w:w="16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Preview (Vercel)</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https://[branch].vercel.app</w:t>
            </w:r>
          </w:p>
        </w:tc>
        <w:tc>
          <w:tcPr>
            <w:tcW w:type="dxa" w:w="2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PR-level testing; DORA Lead Time measurement</w:t>
            </w:r>
          </w:p>
        </w:tc>
        <w:tc>
          <w:tcPr>
            <w:tcW w:type="dxa" w:w="31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Auto-deployed per PR</w:t>
            </w:r>
          </w:p>
        </w:tc>
      </w:tr>
      <w:tr>
        <w:tc>
          <w:tcPr>
            <w:tcW w:type="dxa" w:w="16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bCs/>
                <w:color w:val="1A1A1A"/>
                <w:sz w:val="20"/>
                <w:szCs w:val="20"/>
              </w:rPr>
              <w:t xml:space="preserve">Production (Vercel)</w:t>
            </w:r>
          </w:p>
        </w:tc>
        <w:tc>
          <w:tcPr>
            <w:tcW w:type="dxa" w:w="24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2E75B6"/>
                <w:sz w:val="18"/>
                <w:szCs w:val="18"/>
              </w:rPr>
              <w:t xml:space="preserve">https://[project].vercel.app</w:t>
            </w:r>
          </w:p>
        </w:tc>
        <w:tc>
          <w:tcPr>
            <w:tcW w:type="dxa" w:w="220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1A1A1A"/>
                <w:sz w:val="18"/>
                <w:szCs w:val="18"/>
              </w:rPr>
              <w:t xml:space="preserve">Final assessment submission URL</w:t>
            </w:r>
          </w:p>
        </w:tc>
        <w:tc>
          <w:tcPr>
            <w:tcW w:type="dxa" w:w="3160"/>
            <w:gridSpan w:val="1"/>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top"/>
          </w:tcPr>
          <w:p>
            <w:pPr>
              <w:jc w:val="left"/>
            </w:pPr>
            <w:r>
              <w:rPr>
                <w:rFonts w:ascii="Arial" w:cs="Arial" w:eastAsia="Arial" w:hAnsi="Arial"/>
                <w:b w:val="false"/>
                <w:bCs w:val="false"/>
                <w:color w:val="444444"/>
                <w:sz w:val="18"/>
                <w:szCs w:val="18"/>
              </w:rPr>
              <w:t xml:space="preserve">Deployed on merge to main</w:t>
            </w:r>
          </w:p>
        </w:tc>
      </w:tr>
    </w:tbl>
    <w:p>
      <w:r>
        <w:rPr>
          <w:sz w:val="10"/>
          <w:szCs w:val="10"/>
        </w:rPr>
        <w:t xml:space="preserve"/>
      </w:r>
    </w:p>
    <w:p>
      <w:pPr>
        <w:pStyle w:val="Heading2"/>
      </w:pPr>
      <w:r>
        <w:rPr>
          <w:rFonts w:ascii="Arial" w:cs="Arial" w:eastAsia="Arial" w:hAnsi="Arial"/>
        </w:rPr>
        <w:t xml:space="preserve">Version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2400"/>
        <w:gridCol w:w="3760"/>
      </w:tblGrid>
      <w:tr>
        <w:trPr>
          <w:tblHeader/>
        </w:trPr>
        <w:tc>
          <w:tcPr>
            <w:tcW w:type="dxa" w:w="12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Version</w:t>
            </w:r>
          </w:p>
        </w:tc>
        <w:tc>
          <w:tcPr>
            <w:tcW w:type="dxa" w:w="20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Date</w:t>
            </w:r>
          </w:p>
        </w:tc>
        <w:tc>
          <w:tcPr>
            <w:tcW w:type="dxa" w:w="240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Author</w:t>
            </w:r>
          </w:p>
        </w:tc>
        <w:tc>
          <w:tcPr>
            <w:tcW w:type="dxa" w:w="3760"/>
            <w:gridSpan w:val="1"/>
            <w:tcBorders>
              <w:top w:val="single" w:color="CCCCCC" w:sz="1"/>
              <w:left w:val="single" w:color="CCCCCC" w:sz="1"/>
              <w:bottom w:val="single" w:color="CCCCCC" w:sz="1"/>
              <w:right w:val="single" w:color="CCCCCC" w:sz="1"/>
            </w:tcBorders>
            <w:shd w:fill="1F3864" w:val="clear"/>
            <w:tcMar>
              <w:top w:type="dxa" w:w="100"/>
              <w:left w:type="dxa" w:w="140"/>
              <w:bottom w:type="dxa" w:w="100"/>
              <w:right w:type="dxa" w:w="140"/>
            </w:tcMar>
            <w:vAlign w:val="top"/>
          </w:tcPr>
          <w:p>
            <w:pPr>
              <w:jc w:val="center"/>
            </w:pPr>
            <w:r>
              <w:rPr>
                <w:rFonts w:ascii="Arial" w:cs="Arial" w:eastAsia="Arial" w:hAnsi="Arial"/>
                <w:b/>
                <w:bCs/>
                <w:color w:val="FFFFFF"/>
                <w:sz w:val="20"/>
                <w:szCs w:val="20"/>
              </w:rPr>
              <w:t xml:space="preserve">Changes</w:t>
            </w:r>
          </w:p>
        </w:tc>
      </w:tr>
      <w:tr>
        <w:tc>
          <w:tcPr>
            <w:tcW w:type="dxa" w:w="12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1.0</w:t>
            </w:r>
          </w:p>
        </w:tc>
        <w:tc>
          <w:tcPr>
            <w:tcW w:type="dxa" w:w="20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2026-04-16</w:t>
            </w:r>
          </w:p>
        </w:tc>
        <w:tc>
          <w:tcPr>
            <w:tcW w:type="dxa" w:w="240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Evgenii Subbotin</w:t>
            </w:r>
          </w:p>
        </w:tc>
        <w:tc>
          <w:tcPr>
            <w:tcW w:type="dxa" w:w="3760"/>
            <w:gridSpan w:val="1"/>
            <w:tcBorders>
              <w:top w:val="single" w:color="CCCCCC" w:sz="1"/>
              <w:left w:val="single" w:color="CCCCCC" w:sz="1"/>
              <w:bottom w:val="single" w:color="CCCCCC" w:sz="1"/>
              <w:right w:val="single" w:color="CCCCCC" w:sz="1"/>
            </w:tcBorders>
            <w:shd w:fill="D6E4F0" w:val="clear"/>
            <w:tcMar>
              <w:top w:type="dxa" w:w="100"/>
              <w:left w:type="dxa" w:w="140"/>
              <w:bottom w:type="dxa" w:w="100"/>
              <w:right w:type="dxa" w:w="140"/>
            </w:tcMar>
            <w:vAlign w:val="top"/>
          </w:tcPr>
          <w:p>
            <w:pPr>
              <w:jc w:val="left"/>
            </w:pPr>
            <w:r>
              <w:rPr>
                <w:rFonts w:ascii="Arial" w:cs="Arial" w:eastAsia="Arial" w:hAnsi="Arial"/>
                <w:b w:val="false"/>
                <w:bCs w:val="false"/>
                <w:color w:val="1A1A1A"/>
                <w:sz w:val="20"/>
                <w:szCs w:val="20"/>
              </w:rPr>
              <w:t xml:space="preserve">Initial approved version — all sections complete</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tabs>
        <w:tab w:val="right" w:pos="9026"/>
      </w:tabs>
      <w:spacing w:before="120"/>
    </w:pPr>
    <w:r>
      <w:rPr>
        <w:rFonts w:ascii="Arial" w:cs="Arial" w:eastAsia="Arial" w:hAnsi="Arial"/>
        <w:color w:val="444444"/>
        <w:sz w:val="16"/>
        <w:szCs w:val="16"/>
      </w:rPr>
      <w:t xml:space="preserve">Evgenii Subbotin · Confidential</w:t>
    </w:r>
    <w:r>
      <w:rPr>
        <w:sz w:val="16"/>
        <w:szCs w:val="16"/>
      </w:rPr>
      <w:t xml:space="preserve">	</w:t>
    </w:r>
    <w:r>
      <w:rPr>
        <w:rFonts w:ascii="Arial" w:cs="Arial" w:eastAsia="Arial" w:hAnsi="Arial"/>
        <w:color w:val="444444"/>
        <w:sz w:val="16"/>
        <w:szCs w:val="16"/>
      </w:rPr>
      <w:t xml:space="preserve">Page </w:t>
    </w:r>
    <w:fldSimple w:instr="PAGE">
      <w:r>
        <w:rPr>
          <w:rFonts w:ascii="Arial" w:cs="Arial" w:eastAsia="Arial" w:hAnsi="Arial"/>
          <w:color w:val="444444"/>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tabs>
        <w:tab w:val="right" w:pos="9026"/>
      </w:tabs>
      <w:spacing w:after="120"/>
    </w:pPr>
    <w:r>
      <w:rPr>
        <w:rFonts w:ascii="Arial" w:cs="Arial" w:eastAsia="Arial" w:hAnsi="Arial"/>
        <w:b/>
        <w:bCs/>
        <w:color w:val="1F3864"/>
        <w:sz w:val="18"/>
        <w:szCs w:val="18"/>
      </w:rPr>
      <w:t xml:space="preserve">DOC-005 · Test Strategy</w:t>
    </w:r>
    <w:r>
      <w:rPr>
        <w:sz w:val="18"/>
        <w:szCs w:val="18"/>
      </w:rPr>
      <w:t xml:space="preserve">	</w:t>
    </w:r>
    <w:r>
      <w:rPr>
        <w:rFonts w:ascii="Arial" w:cs="Arial" w:eastAsia="Arial" w:hAnsi="Arial"/>
        <w:color w:val="444444"/>
        <w:sz w:val="18"/>
        <w:szCs w:val="18"/>
      </w:rPr>
      <w:t xml:space="preserve">REM Waste — Booking Flow Platform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80" w:before="200"/>
      <w:outlineLvl w:val="2"/>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2026-04-16T08:28:08.243Z</dcterms:created>
  <dcterms:modified xsi:type="dcterms:W3CDTF">2026-04-16T08:28:08.243Z</dcterms:modified>
</cp:coreProperties>
</file>

<file path=docProps/custom.xml><?xml version="1.0" encoding="utf-8"?>
<Properties xmlns="http://schemas.openxmlformats.org/officeDocument/2006/custom-properties" xmlns:vt="http://schemas.openxmlformats.org/officeDocument/2006/docPropsVTypes"/>
</file>